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8EF7" w14:textId="4CA4F62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 xml:space="preserve">TÖÖVÕTULEPING, nr </w:t>
      </w:r>
      <w:r w:rsidRPr="00747292">
        <w:rPr>
          <w:rFonts w:ascii="IBM Plex Serif" w:hAnsi="IBM Plex Serif"/>
          <w:sz w:val="22"/>
          <w:szCs w:val="22"/>
        </w:rPr>
        <w:t>………………………………..</w:t>
      </w:r>
    </w:p>
    <w:p w14:paraId="771652F9" w14:textId="3BFF883C" w:rsidR="00985B3F" w:rsidRPr="00747292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proofErr w:type="spellStart"/>
      <w:r w:rsidRPr="00985B3F">
        <w:rPr>
          <w:rFonts w:ascii="IBM Plex Serif" w:hAnsi="IBM Plex Serif"/>
          <w:sz w:val="22"/>
          <w:szCs w:val="22"/>
        </w:rPr>
        <w:t>Hullo</w:t>
      </w:r>
      <w:proofErr w:type="spellEnd"/>
      <w:r w:rsidRPr="00985B3F">
        <w:rPr>
          <w:rFonts w:ascii="IBM Plex Serif" w:hAnsi="IBM Plex Serif"/>
          <w:sz w:val="22"/>
          <w:szCs w:val="22"/>
        </w:rPr>
        <w:t xml:space="preserve">, </w:t>
      </w:r>
      <w:r w:rsidRPr="00747292">
        <w:rPr>
          <w:rFonts w:ascii="IBM Plex Serif" w:hAnsi="IBM Plex Serif"/>
          <w:sz w:val="22"/>
          <w:szCs w:val="22"/>
        </w:rPr>
        <w:t>…………………</w:t>
      </w:r>
      <w:r w:rsidRPr="00985B3F">
        <w:rPr>
          <w:rFonts w:ascii="IBM Plex Serif" w:hAnsi="IBM Plex Serif"/>
          <w:sz w:val="22"/>
          <w:szCs w:val="22"/>
        </w:rPr>
        <w:t xml:space="preserve"> 202</w:t>
      </w:r>
      <w:r w:rsidRPr="00747292">
        <w:rPr>
          <w:rFonts w:ascii="IBM Plex Serif" w:hAnsi="IBM Plex Serif"/>
          <w:sz w:val="22"/>
          <w:szCs w:val="22"/>
        </w:rPr>
        <w:t>6</w:t>
      </w:r>
    </w:p>
    <w:p w14:paraId="30821E89" w14:textId="77777777" w:rsidR="004A6E53" w:rsidRPr="00985B3F" w:rsidRDefault="004A6E53" w:rsidP="00985B3F">
      <w:pPr>
        <w:jc w:val="both"/>
        <w:rPr>
          <w:rFonts w:ascii="IBM Plex Serif" w:hAnsi="IBM Plex Serif"/>
          <w:sz w:val="22"/>
          <w:szCs w:val="22"/>
        </w:rPr>
      </w:pPr>
    </w:p>
    <w:p w14:paraId="7860DB44" w14:textId="43EBF291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b/>
          <w:bCs/>
          <w:sz w:val="22"/>
          <w:szCs w:val="22"/>
        </w:rPr>
        <w:t>Vormsi Vallavalitsus</w:t>
      </w:r>
      <w:r w:rsidRPr="00985B3F">
        <w:rPr>
          <w:rFonts w:ascii="IBM Plex Serif" w:hAnsi="IBM Plex Serif"/>
          <w:sz w:val="22"/>
          <w:szCs w:val="22"/>
        </w:rPr>
        <w:t>, registrikood 75022427, keda esindab Vormsi valla põhimääruse alusel</w:t>
      </w:r>
      <w:r w:rsidR="004A6E53"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 xml:space="preserve">vallavanem </w:t>
      </w:r>
      <w:r w:rsidR="004A6E53" w:rsidRPr="00747292">
        <w:rPr>
          <w:rFonts w:ascii="IBM Plex Serif" w:hAnsi="IBM Plex Serif"/>
          <w:sz w:val="22"/>
          <w:szCs w:val="22"/>
        </w:rPr>
        <w:t>Erki Savisaar</w:t>
      </w:r>
      <w:r w:rsidRPr="00985B3F">
        <w:rPr>
          <w:rFonts w:ascii="IBM Plex Serif" w:hAnsi="IBM Plex Serif"/>
          <w:sz w:val="22"/>
          <w:szCs w:val="22"/>
        </w:rPr>
        <w:t xml:space="preserve"> (edaspidi Tellija) ja </w:t>
      </w:r>
      <w:r w:rsidRPr="00747292">
        <w:rPr>
          <w:rFonts w:ascii="IBM Plex Serif" w:hAnsi="IBM Plex Serif"/>
          <w:b/>
          <w:bCs/>
          <w:sz w:val="22"/>
          <w:szCs w:val="22"/>
        </w:rPr>
        <w:t>………………………………………..</w:t>
      </w:r>
      <w:r w:rsidR="004A6E53" w:rsidRPr="00747292">
        <w:rPr>
          <w:rFonts w:ascii="IBM Plex Serif" w:hAnsi="IBM Plex Serif"/>
          <w:b/>
          <w:bCs/>
          <w:sz w:val="22"/>
          <w:szCs w:val="22"/>
        </w:rPr>
        <w:t xml:space="preserve"> </w:t>
      </w:r>
      <w:proofErr w:type="spellStart"/>
      <w:r w:rsidRPr="00747292">
        <w:rPr>
          <w:rFonts w:ascii="IBM Plex Serif" w:hAnsi="IBM Plex Serif"/>
          <w:sz w:val="22"/>
          <w:szCs w:val="22"/>
        </w:rPr>
        <w:t>reg.kood</w:t>
      </w:r>
      <w:proofErr w:type="spellEnd"/>
      <w:r w:rsidRPr="00747292">
        <w:rPr>
          <w:rFonts w:ascii="IBM Plex Serif" w:hAnsi="IBM Plex Serif"/>
          <w:sz w:val="22"/>
          <w:szCs w:val="22"/>
        </w:rPr>
        <w:t>………</w:t>
      </w:r>
      <w:r w:rsidR="004A6E53" w:rsidRPr="00747292">
        <w:rPr>
          <w:rFonts w:ascii="IBM Plex Serif" w:hAnsi="IBM Plex Serif"/>
          <w:sz w:val="22"/>
          <w:szCs w:val="22"/>
        </w:rPr>
        <w:t>……..</w:t>
      </w:r>
      <w:r w:rsidRPr="00747292">
        <w:rPr>
          <w:rFonts w:ascii="IBM Plex Serif" w:hAnsi="IBM Plex Serif"/>
          <w:sz w:val="22"/>
          <w:szCs w:val="22"/>
        </w:rPr>
        <w:t>……..</w:t>
      </w:r>
      <w:r w:rsidRPr="00985B3F">
        <w:rPr>
          <w:rFonts w:ascii="IBM Plex Serif" w:hAnsi="IBM Plex Serif"/>
          <w:sz w:val="22"/>
          <w:szCs w:val="22"/>
        </w:rPr>
        <w:t>, keda esindab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 xml:space="preserve">juhatuse liige </w:t>
      </w:r>
      <w:r w:rsidRPr="00747292">
        <w:rPr>
          <w:rFonts w:ascii="IBM Plex Serif" w:hAnsi="IBM Plex Serif"/>
          <w:sz w:val="22"/>
          <w:szCs w:val="22"/>
        </w:rPr>
        <w:t>………………………..</w:t>
      </w:r>
      <w:r w:rsidRPr="00985B3F">
        <w:rPr>
          <w:rFonts w:ascii="IBM Plex Serif" w:hAnsi="IBM Plex Serif"/>
          <w:sz w:val="22"/>
          <w:szCs w:val="22"/>
        </w:rPr>
        <w:t xml:space="preserve"> (edaspidi Täitja), sõlmisid käesoleva lepingu Vormsi avalike alade suviseks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hoolduseks (edaspidi Leping) alljärgnevatel tingimustel:</w:t>
      </w:r>
    </w:p>
    <w:p w14:paraId="36C8CB12" w14:textId="0ADA3781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1. Lepingu eesmärk ja ese</w:t>
      </w:r>
      <w:r w:rsidR="004A6E53" w:rsidRPr="00747292">
        <w:rPr>
          <w:rFonts w:ascii="IBM Plex Serif" w:hAnsi="IBM Plex Serif"/>
          <w:sz w:val="22"/>
          <w:szCs w:val="22"/>
        </w:rPr>
        <w:t>:</w:t>
      </w:r>
    </w:p>
    <w:p w14:paraId="743523BC" w14:textId="5E5603DD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1.1. Lepingu eesmärgiks on kindlaks määrata Tellija ja Töövõtja vahelised suhted seoses käesoleva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Lepingu täitmisega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7D5BCFB6" w14:textId="7838B754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1.2. Lepingu esemeks on Vormsi valla avalike alade suvine hooldus (edaspidi Teenus), mis koosneb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Töövõtja poolt teostatavatest töödest ja toimingutest mis on nimetatud Lepingu punktis 2 ning Lepingu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 xml:space="preserve">Lisa 1 - </w:t>
      </w:r>
      <w:r w:rsidRPr="00747292">
        <w:rPr>
          <w:rFonts w:ascii="IBM Plex Serif" w:hAnsi="IBM Plex Serif"/>
          <w:sz w:val="22"/>
          <w:szCs w:val="22"/>
        </w:rPr>
        <w:t>………………/</w:t>
      </w:r>
      <w:r w:rsidRPr="00747292">
        <w:rPr>
          <w:rFonts w:ascii="IBM Plex Serif" w:hAnsi="IBM Plex Serif"/>
          <w:i/>
          <w:iCs/>
          <w:sz w:val="22"/>
          <w:szCs w:val="22"/>
        </w:rPr>
        <w:t>kuupäev/</w:t>
      </w:r>
      <w:r w:rsidRPr="00985B3F">
        <w:rPr>
          <w:rFonts w:ascii="IBM Plex Serif" w:hAnsi="IBM Plex Serif"/>
          <w:sz w:val="22"/>
          <w:szCs w:val="22"/>
        </w:rPr>
        <w:t xml:space="preserve"> esitatud pakkumuse järgi.</w:t>
      </w:r>
    </w:p>
    <w:p w14:paraId="463C86CE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2. Täitja kohustub:</w:t>
      </w:r>
    </w:p>
    <w:p w14:paraId="4894AC72" w14:textId="425FBAA2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 xml:space="preserve">2.1. </w:t>
      </w:r>
      <w:r w:rsidRPr="00747292">
        <w:rPr>
          <w:rFonts w:ascii="IBM Plex Serif" w:hAnsi="IBM Plex Serif"/>
          <w:sz w:val="22"/>
          <w:szCs w:val="22"/>
        </w:rPr>
        <w:t>P</w:t>
      </w:r>
      <w:r w:rsidRPr="00985B3F">
        <w:rPr>
          <w:rFonts w:ascii="IBM Plex Serif" w:hAnsi="IBM Plex Serif"/>
          <w:sz w:val="22"/>
          <w:szCs w:val="22"/>
        </w:rPr>
        <w:t xml:space="preserve">erioodil </w:t>
      </w:r>
      <w:r w:rsidRPr="00747292">
        <w:rPr>
          <w:rFonts w:ascii="IBM Plex Serif" w:hAnsi="IBM Plex Serif"/>
          <w:sz w:val="22"/>
          <w:szCs w:val="22"/>
        </w:rPr>
        <w:t>01</w:t>
      </w:r>
      <w:r w:rsidRPr="00985B3F">
        <w:rPr>
          <w:rFonts w:ascii="IBM Plex Serif" w:hAnsi="IBM Plex Serif"/>
          <w:sz w:val="22"/>
          <w:szCs w:val="22"/>
        </w:rPr>
        <w:t xml:space="preserve">. </w:t>
      </w:r>
      <w:r w:rsidRPr="00747292">
        <w:rPr>
          <w:rFonts w:ascii="IBM Plex Serif" w:hAnsi="IBM Plex Serif"/>
          <w:sz w:val="22"/>
          <w:szCs w:val="22"/>
        </w:rPr>
        <w:t>mai</w:t>
      </w:r>
      <w:r w:rsidRPr="00985B3F">
        <w:rPr>
          <w:rFonts w:ascii="IBM Plex Serif" w:hAnsi="IBM Plex Serif"/>
          <w:sz w:val="22"/>
          <w:szCs w:val="22"/>
        </w:rPr>
        <w:t xml:space="preserve"> kuni 30. september 202</w:t>
      </w:r>
      <w:r w:rsidRPr="00747292">
        <w:rPr>
          <w:rFonts w:ascii="IBM Plex Serif" w:hAnsi="IBM Plex Serif"/>
          <w:sz w:val="22"/>
          <w:szCs w:val="22"/>
        </w:rPr>
        <w:t>6</w:t>
      </w:r>
      <w:r w:rsidRPr="00985B3F">
        <w:rPr>
          <w:rFonts w:ascii="IBM Plex Serif" w:hAnsi="IBM Plex Serif"/>
          <w:sz w:val="22"/>
          <w:szCs w:val="22"/>
        </w:rPr>
        <w:t xml:space="preserve"> kokkulepitud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aladel</w:t>
      </w:r>
      <w:r w:rsidR="004A6E53" w:rsidRPr="00747292">
        <w:rPr>
          <w:rFonts w:ascii="IBM Plex Serif" w:hAnsi="IBM Plex Serif"/>
          <w:sz w:val="22"/>
          <w:szCs w:val="22"/>
        </w:rPr>
        <w:t xml:space="preserve"> niitma</w:t>
      </w:r>
      <w:r w:rsidRPr="00985B3F">
        <w:rPr>
          <w:rFonts w:ascii="IBM Plex Serif" w:hAnsi="IBM Plex Serif"/>
          <w:sz w:val="22"/>
          <w:szCs w:val="22"/>
        </w:rPr>
        <w:t xml:space="preserve"> muru ning </w:t>
      </w:r>
      <w:proofErr w:type="spellStart"/>
      <w:r w:rsidRPr="00985B3F">
        <w:rPr>
          <w:rFonts w:ascii="IBM Plex Serif" w:hAnsi="IBM Plex Serif"/>
          <w:sz w:val="22"/>
          <w:szCs w:val="22"/>
        </w:rPr>
        <w:t>trimmerdama</w:t>
      </w:r>
      <w:proofErr w:type="spellEnd"/>
      <w:r w:rsidRPr="00985B3F">
        <w:rPr>
          <w:rFonts w:ascii="IBM Plex Serif" w:hAnsi="IBM Plex Serif"/>
          <w:sz w:val="22"/>
          <w:szCs w:val="22"/>
        </w:rPr>
        <w:t xml:space="preserve"> rohu</w:t>
      </w:r>
      <w:r w:rsidR="004A6E53" w:rsidRPr="00747292">
        <w:rPr>
          <w:rFonts w:ascii="IBM Plex Serif" w:hAnsi="IBM Plex Serif"/>
          <w:sz w:val="22"/>
          <w:szCs w:val="22"/>
        </w:rPr>
        <w:t>/pilliroo</w:t>
      </w:r>
      <w:r w:rsidRPr="00985B3F">
        <w:rPr>
          <w:rFonts w:ascii="IBM Plex Serif" w:hAnsi="IBM Plex Serif"/>
          <w:sz w:val="22"/>
          <w:szCs w:val="22"/>
        </w:rPr>
        <w:t xml:space="preserve"> kohtades, kus niitmine ei ole võimalik</w:t>
      </w:r>
      <w:r w:rsidRPr="00747292">
        <w:rPr>
          <w:rFonts w:ascii="IBM Plex Serif" w:hAnsi="IBM Plex Serif"/>
          <w:sz w:val="22"/>
          <w:szCs w:val="22"/>
        </w:rPr>
        <w:t>;</w:t>
      </w:r>
    </w:p>
    <w:p w14:paraId="7C271743" w14:textId="6D87C2A6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2.2. Tööd tuleb teostada õigeaegselt, töökorras ja sobiva tehnilise vahendiga, tavapärase hoolsusega ja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tulemus peab vastama pakkumuses esitatud tingimustel</w:t>
      </w:r>
      <w:r w:rsidR="004A6E53" w:rsidRPr="00747292">
        <w:rPr>
          <w:rFonts w:ascii="IBM Plex Serif" w:hAnsi="IBM Plex Serif"/>
          <w:sz w:val="22"/>
          <w:szCs w:val="22"/>
        </w:rPr>
        <w:t>e</w:t>
      </w:r>
      <w:r w:rsidRPr="00747292">
        <w:rPr>
          <w:rFonts w:ascii="IBM Plex Serif" w:hAnsi="IBM Plex Serif"/>
          <w:sz w:val="22"/>
          <w:szCs w:val="22"/>
        </w:rPr>
        <w:t>;</w:t>
      </w:r>
    </w:p>
    <w:p w14:paraId="5CE4E009" w14:textId="7BDAE106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2.3. Täitja kannab käesoleva lepingu punktis 2 ja selle alapunktides loetletud ülesannete täitmisega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seotud kulud</w:t>
      </w:r>
      <w:r w:rsidRPr="00747292">
        <w:rPr>
          <w:rFonts w:ascii="IBM Plex Serif" w:hAnsi="IBM Plex Serif"/>
          <w:sz w:val="22"/>
          <w:szCs w:val="22"/>
        </w:rPr>
        <w:t>;</w:t>
      </w:r>
    </w:p>
    <w:p w14:paraId="2D5BB596" w14:textId="3588B53F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2.4. Täitja kohustub punktis 2 loetletud ja pakkumuses esitatud tingimused täitma hoolikalt ning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parimat tulemust andval viisil pidades kinni tähtaegadest ja kvaliteedinõuetest ning tagades töö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tegemisel ja seadmete kasutamisel tööohutuse nõuete järgimise</w:t>
      </w:r>
      <w:r w:rsidRPr="00747292">
        <w:rPr>
          <w:rFonts w:ascii="IBM Plex Serif" w:hAnsi="IBM Plex Serif"/>
          <w:sz w:val="22"/>
          <w:szCs w:val="22"/>
        </w:rPr>
        <w:t>;</w:t>
      </w:r>
    </w:p>
    <w:p w14:paraId="1E83C7CB" w14:textId="0AECFD7F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 xml:space="preserve">2.5. Täitja peab tagama ohutuse, et niitmine </w:t>
      </w:r>
      <w:r w:rsidR="004A6E53" w:rsidRPr="00747292">
        <w:rPr>
          <w:rFonts w:ascii="IBM Plex Serif" w:hAnsi="IBM Plex Serif"/>
          <w:sz w:val="22"/>
          <w:szCs w:val="22"/>
        </w:rPr>
        <w:t xml:space="preserve">ja </w:t>
      </w:r>
      <w:proofErr w:type="spellStart"/>
      <w:r w:rsidR="004A6E53" w:rsidRPr="00747292">
        <w:rPr>
          <w:rFonts w:ascii="IBM Plex Serif" w:hAnsi="IBM Plex Serif"/>
          <w:sz w:val="22"/>
          <w:szCs w:val="22"/>
        </w:rPr>
        <w:t>trimmerdamine</w:t>
      </w:r>
      <w:proofErr w:type="spellEnd"/>
      <w:r w:rsidR="004A6E53"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ei ohustaks kellegi tervist ega vara. Täitja tegevuse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tagajärjel tekkinud kahjud kannab Täitja oma vahenditest (näiteks niitmisel</w:t>
      </w:r>
      <w:r w:rsidR="004A6E53" w:rsidRPr="00747292">
        <w:rPr>
          <w:rFonts w:ascii="IBM Plex Serif" w:hAnsi="IBM Plex Serif"/>
          <w:sz w:val="22"/>
          <w:szCs w:val="22"/>
        </w:rPr>
        <w:t>/</w:t>
      </w:r>
      <w:proofErr w:type="spellStart"/>
      <w:r w:rsidR="004A6E53" w:rsidRPr="00747292">
        <w:rPr>
          <w:rFonts w:ascii="IBM Plex Serif" w:hAnsi="IBM Plex Serif"/>
          <w:sz w:val="22"/>
          <w:szCs w:val="22"/>
        </w:rPr>
        <w:t>trimmerdamisel</w:t>
      </w:r>
      <w:proofErr w:type="spellEnd"/>
      <w:r w:rsidRPr="00985B3F">
        <w:rPr>
          <w:rFonts w:ascii="IBM Plex Serif" w:hAnsi="IBM Plex Serif"/>
          <w:sz w:val="22"/>
          <w:szCs w:val="22"/>
        </w:rPr>
        <w:t xml:space="preserve"> kiviga purustatud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aknaklaasid (paketid) vahetab Täitja omal kulul. Tellija ei hüvita kolmandatele isikutele Täitja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tegevusega seotud kahjusid</w:t>
      </w:r>
      <w:r w:rsidRPr="00747292">
        <w:rPr>
          <w:rFonts w:ascii="IBM Plex Serif" w:hAnsi="IBM Plex Serif"/>
          <w:sz w:val="22"/>
          <w:szCs w:val="22"/>
        </w:rPr>
        <w:t>;</w:t>
      </w:r>
    </w:p>
    <w:p w14:paraId="1A90694D" w14:textId="6B03E380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lastRenderedPageBreak/>
        <w:t>2.6. Täitja kohustub küsima koheselt Tellijalt juhiseid, kui Täitja ei oska ülesannete täitmisel tekkinud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küsimusi ise lahendada või erinevate lahenduste vahel valida</w:t>
      </w:r>
      <w:r w:rsidRPr="00747292">
        <w:rPr>
          <w:rFonts w:ascii="IBM Plex Serif" w:hAnsi="IBM Plex Serif"/>
          <w:sz w:val="22"/>
          <w:szCs w:val="22"/>
        </w:rPr>
        <w:t>;</w:t>
      </w:r>
    </w:p>
    <w:p w14:paraId="04451762" w14:textId="673184B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2.7. Täitja kohustub punktis 2 loetletud ülesannete täitmisel täitma Tellija korraldusi ja juhiseid. Kui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Täitja on seisukohal, et Tellija korraldusi ja juhiseid ei ole võimalik täita või nende täitmine ei oleks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tulemust arvestades otstarbekas, kohustub Täitja Tellijat sellest koheselt informeerima.</w:t>
      </w:r>
    </w:p>
    <w:p w14:paraId="699EC186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3. Tellija kohustub:</w:t>
      </w:r>
    </w:p>
    <w:p w14:paraId="7B5F958B" w14:textId="314687A3" w:rsidR="00985B3F" w:rsidRPr="00985B3F" w:rsidRDefault="00985B3F" w:rsidP="00985B3F">
      <w:pPr>
        <w:jc w:val="both"/>
        <w:rPr>
          <w:rFonts w:ascii="IBM Plex Serif" w:hAnsi="IBM Plex Serif"/>
          <w:i/>
          <w:iCs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 xml:space="preserve">3.1. Tasuma punktis 2 loetletud ülesannete nõuetekohase täitmise eest kokku </w:t>
      </w:r>
      <w:r w:rsidRPr="00747292">
        <w:rPr>
          <w:rFonts w:ascii="IBM Plex Serif" w:hAnsi="IBM Plex Serif"/>
          <w:sz w:val="22"/>
          <w:szCs w:val="22"/>
        </w:rPr>
        <w:t>…………………..</w:t>
      </w:r>
      <w:r w:rsidRPr="00985B3F">
        <w:rPr>
          <w:rFonts w:ascii="IBM Plex Serif" w:hAnsi="IBM Plex Serif"/>
          <w:sz w:val="22"/>
          <w:szCs w:val="22"/>
        </w:rPr>
        <w:t xml:space="preserve"> eurot osade kaupa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 xml:space="preserve">vastavalt Täitja esitatud arvetele. Tasule </w:t>
      </w:r>
      <w:r w:rsidRPr="00985B3F">
        <w:rPr>
          <w:rFonts w:ascii="IBM Plex Serif" w:hAnsi="IBM Plex Serif"/>
          <w:i/>
          <w:iCs/>
          <w:sz w:val="22"/>
          <w:szCs w:val="22"/>
        </w:rPr>
        <w:t>lisandub käibemaks</w:t>
      </w:r>
      <w:r w:rsidRPr="00747292">
        <w:rPr>
          <w:rFonts w:ascii="IBM Plex Serif" w:hAnsi="IBM Plex Serif"/>
          <w:i/>
          <w:iCs/>
          <w:sz w:val="22"/>
          <w:szCs w:val="22"/>
        </w:rPr>
        <w:t>/ ei lisandu</w:t>
      </w:r>
      <w:r w:rsidR="004A6E53" w:rsidRPr="00747292">
        <w:rPr>
          <w:rFonts w:ascii="IBM Plex Serif" w:hAnsi="IBM Plex Serif"/>
          <w:i/>
          <w:iCs/>
          <w:sz w:val="22"/>
          <w:szCs w:val="22"/>
        </w:rPr>
        <w:t xml:space="preserve"> käib</w:t>
      </w:r>
      <w:r w:rsidR="00747292">
        <w:rPr>
          <w:rFonts w:ascii="IBM Plex Serif" w:hAnsi="IBM Plex Serif"/>
          <w:i/>
          <w:iCs/>
          <w:sz w:val="22"/>
          <w:szCs w:val="22"/>
        </w:rPr>
        <w:t>e</w:t>
      </w:r>
      <w:r w:rsidR="004A6E53" w:rsidRPr="00747292">
        <w:rPr>
          <w:rFonts w:ascii="IBM Plex Serif" w:hAnsi="IBM Plex Serif"/>
          <w:i/>
          <w:iCs/>
          <w:sz w:val="22"/>
          <w:szCs w:val="22"/>
        </w:rPr>
        <w:t>maksu;</w:t>
      </w:r>
    </w:p>
    <w:p w14:paraId="00E662F6" w14:textId="54906B06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3.2 Tasu makstakse Täitja poolt esitatud e-arve alusel. Enne arve esitamist kinnitavad Tellija ja Täitja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tööde teostamist aktiga. Akt kinnitatakse Tellija poolt kahe tööpäeva jooksul. Akti alusel esitatud e-arve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tasutakse pangaülekande teel 1</w:t>
      </w:r>
      <w:r w:rsidRPr="00747292">
        <w:rPr>
          <w:rFonts w:ascii="IBM Plex Serif" w:hAnsi="IBM Plex Serif"/>
          <w:sz w:val="22"/>
          <w:szCs w:val="22"/>
        </w:rPr>
        <w:t>4</w:t>
      </w:r>
      <w:r w:rsidRPr="00985B3F">
        <w:rPr>
          <w:rFonts w:ascii="IBM Plex Serif" w:hAnsi="IBM Plex Serif"/>
          <w:sz w:val="22"/>
          <w:szCs w:val="22"/>
        </w:rPr>
        <w:t xml:space="preserve"> päeva jooksul arve saamisest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4207A3EB" w14:textId="7FC1491F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3.3. Vastama tööpäeva jooksul Täitja vastavasisulise pöördumise saamisest Täitja taotlustele Lepingu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täitmist puudutavate juhiste saamiseks.</w:t>
      </w:r>
    </w:p>
    <w:p w14:paraId="3A2833F1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 Lepingu tähtaeg, lõpetamine ja muud tingimused:</w:t>
      </w:r>
    </w:p>
    <w:p w14:paraId="25A9A9C9" w14:textId="5E67C1FA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4.1. Leping jõustub allkirjastamise hetkest ja kehtib kuni 30. september 202</w:t>
      </w:r>
      <w:r w:rsidRPr="00747292">
        <w:rPr>
          <w:rFonts w:ascii="IBM Plex Serif" w:hAnsi="IBM Plex Serif"/>
          <w:sz w:val="22"/>
          <w:szCs w:val="22"/>
        </w:rPr>
        <w:t>6</w:t>
      </w:r>
      <w:r w:rsidRPr="00985B3F">
        <w:rPr>
          <w:rFonts w:ascii="IBM Plex Serif" w:hAnsi="IBM Plex Serif"/>
          <w:sz w:val="22"/>
          <w:szCs w:val="22"/>
        </w:rPr>
        <w:t>, kui Poolte poolt seda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enne nimetatud tähtaega ei lõpetata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17A53091" w14:textId="300C525B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4.2. Pooled võivad Lepingu enne punktis 4.1 nimetatud tähtaja möödumist lõpetada kirjalikul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kokkuleppel juhul, kui neil ei ole objektiivsetel põhjustel, mida mõlemad Pooled peavad mõjuvateks,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võimalik Lepingut kokkulepitud tingimustel edasi täita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368B62B7" w14:textId="60954C6F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4.3. Tellija võib Lepingu ühepoolselt üles öelda Täitjapoolse Lepingu rikkumise korral, kui Täitja ei ole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täitnud oma Lepingust tulenevaid kohustusi või ei ole seda teinud tähtaegadest kinni pidades või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kvaliteediga, milles Lepinguga oli kokku lepitud ning Täitja ei ole Tellija määratud puuduste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kõrvaldamise tähtaja jooksul oma kohustuste rikkumist kõrvaldanud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4ED3DB4D" w14:textId="1B00ECD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4.4. Täitjal on õigus Leping ennetähtaegselt lõpetada Tellija poolt Lepingu olulise rikkumise korral, kui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Tellija ei ole Lepingust tulenevate kohustuste rikkumist kõrvaldanud 1 kuu jooksul Täitja poolt vastava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nõude esitamisest. Oluliseks rikkumiseks loetakse lepingutasu maksmisega viivitamist rohkem kui 10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päeva käesoleva Lepingu punktis 3.2. sätestatud tähtajast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466EE853" w14:textId="1F3FA348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lastRenderedPageBreak/>
        <w:t>4.5. Pooltel on õigus Leping mis tahes põhjusel üles öelda teatades sellest kirjalikult teisele Poolele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vähemalt 30 päeva ette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0A854BB4" w14:textId="02AC8504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4.6. Lepingusummat ei muudeta. Lepingu muutmine käesoleva lepingu summa piires toimub üksnes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Poolte kokkuleppel ja kirjalikult. Lepingu muudatused vormistatakse Lepingu lisadena, mis on Lepingu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lahutamatud osad. Lepingu lisad peavad jõustumiseks olema mõlema Poole poolt allkirjastatud</w:t>
      </w:r>
      <w:r w:rsidR="004A6E53" w:rsidRPr="00747292">
        <w:rPr>
          <w:rFonts w:ascii="IBM Plex Serif" w:hAnsi="IBM Plex Serif"/>
          <w:sz w:val="22"/>
          <w:szCs w:val="22"/>
        </w:rPr>
        <w:t>;</w:t>
      </w:r>
    </w:p>
    <w:p w14:paraId="36B5F65B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4.7. Leping on koostatud eesti keeles ja allkirjastatud digitaalselt.</w:t>
      </w:r>
    </w:p>
    <w:p w14:paraId="7DB8E336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5. Poolte kontaktandmed.</w:t>
      </w:r>
    </w:p>
    <w:p w14:paraId="25B62366" w14:textId="3466A7CA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5.1. Pooled kohustuvad Lepinguga seotud teated teisele Poolele esitama alljärgnevaid kontaktandmeid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kasutades ja eeskätt alljärgnevalt nimetatud kontaktisikute kaudu:</w:t>
      </w:r>
    </w:p>
    <w:p w14:paraId="52155A52" w14:textId="14F594CD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 xml:space="preserve">5.1.1. Tellija kontakt ja akti </w:t>
      </w:r>
      <w:r w:rsidR="0086797B" w:rsidRPr="00985B3F">
        <w:rPr>
          <w:rFonts w:ascii="IBM Plex Serif" w:hAnsi="IBM Plex Serif"/>
          <w:sz w:val="22"/>
          <w:szCs w:val="22"/>
        </w:rPr>
        <w:t>aktsepteerija</w:t>
      </w:r>
      <w:r w:rsidRPr="00985B3F">
        <w:rPr>
          <w:rFonts w:ascii="IBM Plex Serif" w:hAnsi="IBM Plex Serif"/>
          <w:sz w:val="22"/>
          <w:szCs w:val="22"/>
        </w:rPr>
        <w:t>: Vormsi Vallavalitsus, Ebekai Härm, tel. +372 5693 0041,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ebekai@vormsi.ee</w:t>
      </w:r>
    </w:p>
    <w:p w14:paraId="1836D6C1" w14:textId="7491C58D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5.1.2 Täitja</w:t>
      </w:r>
      <w:r w:rsidRPr="00747292">
        <w:rPr>
          <w:rFonts w:ascii="IBM Plex Serif" w:hAnsi="IBM Plex Serif"/>
          <w:sz w:val="22"/>
          <w:szCs w:val="22"/>
        </w:rPr>
        <w:t xml:space="preserve"> nimi</w:t>
      </w:r>
      <w:r w:rsidRPr="00985B3F">
        <w:rPr>
          <w:rFonts w:ascii="IBM Plex Serif" w:hAnsi="IBM Plex Serif"/>
          <w:sz w:val="22"/>
          <w:szCs w:val="22"/>
        </w:rPr>
        <w:t xml:space="preserve">: </w:t>
      </w:r>
      <w:r w:rsidRPr="00747292">
        <w:rPr>
          <w:rFonts w:ascii="IBM Plex Serif" w:hAnsi="IBM Plex Serif"/>
          <w:sz w:val="22"/>
          <w:szCs w:val="22"/>
        </w:rPr>
        <w:t>………………….</w:t>
      </w:r>
      <w:r w:rsidRPr="00985B3F">
        <w:rPr>
          <w:rFonts w:ascii="IBM Plex Serif" w:hAnsi="IBM Plex Serif"/>
          <w:sz w:val="22"/>
          <w:szCs w:val="22"/>
        </w:rPr>
        <w:t>, Kontakt</w:t>
      </w:r>
      <w:r w:rsidRPr="00747292">
        <w:rPr>
          <w:rFonts w:ascii="IBM Plex Serif" w:hAnsi="IBM Plex Serif"/>
          <w:sz w:val="22"/>
          <w:szCs w:val="22"/>
        </w:rPr>
        <w:t>andmed</w:t>
      </w:r>
      <w:r w:rsidRPr="00985B3F">
        <w:rPr>
          <w:rFonts w:ascii="IBM Plex Serif" w:hAnsi="IBM Plex Serif"/>
          <w:sz w:val="22"/>
          <w:szCs w:val="22"/>
        </w:rPr>
        <w:t xml:space="preserve">: </w:t>
      </w:r>
      <w:r w:rsidRPr="00747292">
        <w:rPr>
          <w:rFonts w:ascii="IBM Plex Serif" w:hAnsi="IBM Plex Serif"/>
          <w:sz w:val="22"/>
          <w:szCs w:val="22"/>
        </w:rPr>
        <w:t>tel …………….………..</w:t>
      </w:r>
      <w:r w:rsidRPr="00985B3F">
        <w:rPr>
          <w:rFonts w:ascii="IBM Plex Serif" w:hAnsi="IBM Plex Serif"/>
          <w:sz w:val="22"/>
          <w:szCs w:val="22"/>
        </w:rPr>
        <w:t>; email:</w:t>
      </w:r>
      <w:r w:rsidRPr="00747292">
        <w:rPr>
          <w:rFonts w:ascii="IBM Plex Serif" w:hAnsi="IBM Plex Serif"/>
          <w:sz w:val="22"/>
          <w:szCs w:val="22"/>
        </w:rPr>
        <w:t>……………………..</w:t>
      </w:r>
    </w:p>
    <w:p w14:paraId="1E57381D" w14:textId="470A1ADE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Pooled peavad teist Poolt koheselt informeerima oma kontaktandmete ja kontaktisikute muutumisest.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Selle kohustuse täitmata jätmisel ei saa Pooled esitada teise Poole vastu nõudmisi tuginedes asjaolule,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et nad ei olnud teadlikud asjaolust, millest neid teavitati vanu kontaktandmeid kasutades. Teated,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millele teadet edastav Pool omistab selle teisele Poolele edastamisel võib hilisemalt omada juriidilist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tähendust, tuleb esitada viisil, mis võimaldab tõendada nende edastamise aega ja teise Poole poolt</w:t>
      </w:r>
      <w:r w:rsidRPr="00747292">
        <w:rPr>
          <w:rFonts w:ascii="IBM Plex Serif" w:hAnsi="IBM Plex Serif"/>
          <w:sz w:val="22"/>
          <w:szCs w:val="22"/>
        </w:rPr>
        <w:t xml:space="preserve"> </w:t>
      </w:r>
      <w:r w:rsidRPr="00985B3F">
        <w:rPr>
          <w:rFonts w:ascii="IBM Plex Serif" w:hAnsi="IBM Plex Serif"/>
          <w:sz w:val="22"/>
          <w:szCs w:val="22"/>
        </w:rPr>
        <w:t>nende kättesaamist või kättesaamise võimaluse olemasolu.</w:t>
      </w:r>
    </w:p>
    <w:p w14:paraId="131077F2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5.1.3. Käesoleva lepingu lahutamatuteks osadeks on:</w:t>
      </w:r>
    </w:p>
    <w:p w14:paraId="79D6365C" w14:textId="58C84FD9" w:rsidR="00985B3F" w:rsidRPr="00747292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985B3F">
        <w:rPr>
          <w:rFonts w:ascii="IBM Plex Serif" w:hAnsi="IBM Plex Serif"/>
          <w:sz w:val="22"/>
          <w:szCs w:val="22"/>
        </w:rPr>
        <w:t>LISA 1:</w:t>
      </w:r>
      <w:r w:rsidRPr="00985B3F">
        <w:rPr>
          <w:rFonts w:ascii="IBM Plex Serif" w:hAnsi="IBM Plex Serif"/>
          <w:i/>
          <w:iCs/>
          <w:sz w:val="22"/>
          <w:szCs w:val="22"/>
        </w:rPr>
        <w:t xml:space="preserve"> </w:t>
      </w:r>
      <w:r w:rsidRPr="00747292">
        <w:rPr>
          <w:rFonts w:ascii="IBM Plex Serif" w:hAnsi="IBM Plex Serif"/>
          <w:i/>
          <w:iCs/>
          <w:sz w:val="22"/>
          <w:szCs w:val="22"/>
        </w:rPr>
        <w:t>/kuupäev/</w:t>
      </w:r>
      <w:r w:rsidRPr="00985B3F">
        <w:rPr>
          <w:rFonts w:ascii="IBM Plex Serif" w:hAnsi="IBM Plex Serif"/>
          <w:sz w:val="22"/>
          <w:szCs w:val="22"/>
        </w:rPr>
        <w:t xml:space="preserve"> esitatud Pakkumus</w:t>
      </w:r>
    </w:p>
    <w:p w14:paraId="6617AF1F" w14:textId="77777777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</w:p>
    <w:p w14:paraId="29F05126" w14:textId="4B1A6F88" w:rsidR="00985B3F" w:rsidRPr="00985B3F" w:rsidRDefault="00985B3F" w:rsidP="00985B3F">
      <w:pPr>
        <w:jc w:val="both"/>
        <w:rPr>
          <w:rFonts w:ascii="IBM Plex Serif" w:hAnsi="IBM Plex Serif"/>
          <w:i/>
          <w:iCs/>
          <w:sz w:val="22"/>
          <w:szCs w:val="22"/>
        </w:rPr>
      </w:pPr>
      <w:r w:rsidRPr="00985B3F">
        <w:rPr>
          <w:rFonts w:ascii="IBM Plex Serif" w:hAnsi="IBM Plex Serif"/>
          <w:i/>
          <w:iCs/>
          <w:sz w:val="22"/>
          <w:szCs w:val="22"/>
        </w:rPr>
        <w:t xml:space="preserve">/allkirjastatud digitaalselt/ </w:t>
      </w:r>
      <w:r w:rsidRPr="00747292">
        <w:rPr>
          <w:rFonts w:ascii="IBM Plex Serif" w:hAnsi="IBM Plex Serif"/>
          <w:i/>
          <w:iCs/>
          <w:sz w:val="22"/>
          <w:szCs w:val="22"/>
        </w:rPr>
        <w:tab/>
      </w:r>
      <w:r w:rsidRPr="00747292">
        <w:rPr>
          <w:rFonts w:ascii="IBM Plex Serif" w:hAnsi="IBM Plex Serif"/>
          <w:i/>
          <w:iCs/>
          <w:sz w:val="22"/>
          <w:szCs w:val="22"/>
        </w:rPr>
        <w:tab/>
      </w:r>
      <w:r w:rsidRPr="00747292">
        <w:rPr>
          <w:rFonts w:ascii="IBM Plex Serif" w:hAnsi="IBM Plex Serif"/>
          <w:i/>
          <w:iCs/>
          <w:sz w:val="22"/>
          <w:szCs w:val="22"/>
        </w:rPr>
        <w:tab/>
      </w:r>
      <w:r w:rsidRPr="00747292">
        <w:rPr>
          <w:rFonts w:ascii="IBM Plex Serif" w:hAnsi="IBM Plex Serif"/>
          <w:i/>
          <w:iCs/>
          <w:sz w:val="22"/>
          <w:szCs w:val="22"/>
        </w:rPr>
        <w:tab/>
      </w:r>
      <w:r w:rsidRPr="00747292">
        <w:rPr>
          <w:rFonts w:ascii="IBM Plex Serif" w:hAnsi="IBM Plex Serif"/>
          <w:i/>
          <w:iCs/>
          <w:sz w:val="22"/>
          <w:szCs w:val="22"/>
        </w:rPr>
        <w:tab/>
      </w:r>
      <w:r w:rsidRPr="00985B3F">
        <w:rPr>
          <w:rFonts w:ascii="IBM Plex Serif" w:hAnsi="IBM Plex Serif"/>
          <w:i/>
          <w:iCs/>
          <w:sz w:val="22"/>
          <w:szCs w:val="22"/>
        </w:rPr>
        <w:t>/allkirjastatud digitaalsel/</w:t>
      </w:r>
    </w:p>
    <w:p w14:paraId="0365DDAC" w14:textId="6AEB549C" w:rsidR="00985B3F" w:rsidRPr="00985B3F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747292">
        <w:rPr>
          <w:rFonts w:ascii="IBM Plex Serif" w:hAnsi="IBM Plex Serif"/>
          <w:sz w:val="22"/>
          <w:szCs w:val="22"/>
        </w:rPr>
        <w:t>Erki Savisaar</w:t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  <w:t>……………………………../nimi/</w:t>
      </w:r>
    </w:p>
    <w:p w14:paraId="09342430" w14:textId="10823F65" w:rsidR="008137A7" w:rsidRPr="00747292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  <w:t>…………………………………../email/</w:t>
      </w:r>
    </w:p>
    <w:p w14:paraId="38D6B478" w14:textId="65D0725F" w:rsidR="00985B3F" w:rsidRPr="00747292" w:rsidRDefault="00985B3F" w:rsidP="00985B3F">
      <w:pPr>
        <w:jc w:val="both"/>
        <w:rPr>
          <w:rFonts w:ascii="IBM Plex Serif" w:hAnsi="IBM Plex Serif"/>
          <w:sz w:val="22"/>
          <w:szCs w:val="22"/>
        </w:rPr>
      </w:pP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</w:r>
      <w:r w:rsidRPr="00747292">
        <w:rPr>
          <w:rFonts w:ascii="IBM Plex Serif" w:hAnsi="IBM Plex Serif"/>
          <w:sz w:val="22"/>
          <w:szCs w:val="22"/>
        </w:rPr>
        <w:tab/>
        <w:t>…………………………………/telefon/</w:t>
      </w:r>
    </w:p>
    <w:sectPr w:rsidR="00985B3F" w:rsidRPr="0074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3F"/>
    <w:rsid w:val="002C4DD1"/>
    <w:rsid w:val="004A6E53"/>
    <w:rsid w:val="006A6A6E"/>
    <w:rsid w:val="00747292"/>
    <w:rsid w:val="007B39E9"/>
    <w:rsid w:val="008137A7"/>
    <w:rsid w:val="0086797B"/>
    <w:rsid w:val="00985B3F"/>
    <w:rsid w:val="00A04C3A"/>
    <w:rsid w:val="00DE4CD4"/>
    <w:rsid w:val="00E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DDD4"/>
  <w15:chartTrackingRefBased/>
  <w15:docId w15:val="{75F042DC-E64E-4861-B1D6-6D1816F9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8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5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5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5B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5B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5B3F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5B3F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5B3F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5B3F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5B3F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5B3F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5B3F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5B3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5B3F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5B3F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985B3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5B3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5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5B3F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985B3F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85B3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85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Ebekai Harm</dc:creator>
  <cp:keywords/>
  <dc:description/>
  <cp:lastModifiedBy>Ebekai Harm</cp:lastModifiedBy>
  <cp:revision>4</cp:revision>
  <dcterms:created xsi:type="dcterms:W3CDTF">2026-04-07T09:53:00Z</dcterms:created>
  <dcterms:modified xsi:type="dcterms:W3CDTF">2026-04-07T10:23:00Z</dcterms:modified>
</cp:coreProperties>
</file>