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Style w:val="None A"/>
          <w:rtl w:val="0"/>
        </w:rPr>
        <w:t xml:space="preserve">Lisa 2 </w:t>
      </w:r>
    </w:p>
    <w:p>
      <w:pPr>
        <w:pStyle w:val="Normal.0"/>
        <w:jc w:val="right"/>
      </w:pPr>
      <w:r>
        <w:rPr>
          <w:rStyle w:val="None A"/>
          <w:rtl w:val="0"/>
        </w:rPr>
        <w:t>Vormsi Vallavolikogu</w:t>
      </w:r>
    </w:p>
    <w:p>
      <w:pPr>
        <w:pStyle w:val="Normal.0"/>
        <w:jc w:val="right"/>
      </w:pPr>
      <w:r>
        <w:rPr>
          <w:rStyle w:val="None A"/>
          <w:rtl w:val="0"/>
        </w:rPr>
        <w:t xml:space="preserve"> otsusele nr </w:t>
      </w:r>
      <w:r>
        <w:rPr>
          <w:rStyle w:val="None A"/>
          <w:rtl w:val="0"/>
        </w:rPr>
        <w:t>……</w:t>
      </w:r>
      <w:r>
        <w:rPr>
          <w:rStyle w:val="None A"/>
          <w:rtl w:val="0"/>
        </w:rPr>
        <w:t>.</w:t>
      </w:r>
    </w:p>
    <w:p>
      <w:pPr>
        <w:pStyle w:val="Normal.0"/>
        <w:spacing w:before="0" w:after="0"/>
        <w:jc w:val="left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892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41"/>
        <w:gridCol w:w="408"/>
        <w:gridCol w:w="3659"/>
        <w:gridCol w:w="2155"/>
        <w:gridCol w:w="16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876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DETAILPLANEERINGU 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sv-SE"/>
              </w:rPr>
              <w:t>Ä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HTESEISUKOHAD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NIMETUS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  <w:rPr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hja detailplaneering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(asukoht Norrby 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las P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hja katastri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ksusel tunnusega 90701:001:0915)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60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ALGATAJA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Detailplaneeringu koostamise algatamise ettepaneku esitaja ja huvitatud isik: 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üü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 Lauring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Algataja: Vormsi Vallavolikogu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Koostamise korraldaja: Vormsi Vallavalitsus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20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 EESM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sv-SE"/>
              </w:rPr>
              <w:t>Ä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RK JA VASTAVUS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LDPLANEERINGULE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PLANEERINGU EESM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RK: tervikliku kinnistu moodustamine, individuaalelamu, abihoone, kuuri, elektri- ja side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henduse, ning puurkaevu rajamine; vajaliku juurdep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su lahendamine P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hja ja Martini (tunnusega 90701:001:0818) katastri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ksuste tarbeks; servituutide vajaduse m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ramine; ranna ehituskeeluv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ndi v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 xml:space="preserve">hendamine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PLANEERINGUALA LIGIKAUDNE SUURUS: ligikaudu 1,3 ha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PLANEERINGU VASTAVUS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LDPLANEERINGULE: ei ole otseselt vastuolus Vormsi valla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 xml:space="preserve">ldplaneeringuga.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ldplaneeringu muutmise vajaduse tingib ranna ehituskeeluv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ndi v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hendamine.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240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4. PLANEERINGU 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sv-SE"/>
              </w:rPr>
              <w:t>Ä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HTEMATERJAL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  <w:rPr>
                <w:sz w:val="23"/>
                <w:szCs w:val="23"/>
                <w:shd w:val="nil" w:color="auto" w:fill="auto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OLEMASOLEVA KATASTRI</w:t>
            </w:r>
            <w:r>
              <w:rPr>
                <w:sz w:val="23"/>
                <w:szCs w:val="23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3"/>
                <w:szCs w:val="23"/>
                <w:shd w:val="nil" w:color="auto" w:fill="auto"/>
                <w:rtl w:val="0"/>
              </w:rPr>
              <w:t>KSUSE SIHTOTSTARVE: maatulundusmaa 100%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>PLANEERINGUALA ASEND: vt planeeringuala skeem (Lisa 2)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</w:rPr>
              <w:t>GEODEETILINE ALUSPLAAN: vajalik m</w:t>
            </w:r>
            <w:r>
              <w:rPr>
                <w:sz w:val="23"/>
                <w:szCs w:val="23"/>
                <w:shd w:val="nil" w:color="auto" w:fill="auto"/>
                <w:rtl w:val="0"/>
                <w:lang w:val="pt-PT"/>
              </w:rPr>
              <w:t>õõ</w:t>
            </w:r>
            <w:r>
              <w:rPr>
                <w:sz w:val="23"/>
                <w:szCs w:val="23"/>
                <w:shd w:val="nil" w:color="auto" w:fill="auto"/>
                <w:rtl w:val="0"/>
                <w:lang w:val="pt-PT"/>
              </w:rPr>
              <w:t>distada M 1:500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3"/>
                <w:szCs w:val="23"/>
                <w:shd w:val="nil" w:color="auto" w:fill="auto"/>
                <w:rtl w:val="0"/>
              </w:rPr>
            </w:pPr>
            <w:r>
              <w:rPr>
                <w:sz w:val="23"/>
                <w:szCs w:val="23"/>
                <w:shd w:val="nil" w:color="auto" w:fill="auto"/>
                <w:rtl w:val="0"/>
                <w:lang w:val="en-US"/>
              </w:rPr>
              <w:t xml:space="preserve">ARVESTADA: </w:t>
            </w:r>
            <w:r>
              <w:rPr>
                <w:rStyle w:val="Hyperlink.0"/>
                <w:sz w:val="23"/>
                <w:szCs w:val="23"/>
              </w:rPr>
              <w:fldChar w:fldCharType="begin" w:fldLock="0"/>
            </w:r>
            <w:r>
              <w:rPr>
                <w:rStyle w:val="Hyperlink.0"/>
                <w:sz w:val="23"/>
                <w:szCs w:val="23"/>
              </w:rPr>
              <w:instrText xml:space="preserve"> HYPERLINK "https://maakonnaplaneering.ee/maakonna-planeeringud/laanemaa/laane-maakonnaplaneering-2030/"</w:instrText>
            </w:r>
            <w:r>
              <w:rPr>
                <w:rStyle w:val="Hyperlink.0"/>
                <w:sz w:val="23"/>
                <w:szCs w:val="23"/>
              </w:rPr>
              <w:fldChar w:fldCharType="separate" w:fldLock="0"/>
            </w:r>
            <w:r>
              <w:rPr>
                <w:rStyle w:val="Hyperlink.0"/>
                <w:sz w:val="23"/>
                <w:szCs w:val="23"/>
                <w:rtl w:val="0"/>
              </w:rPr>
              <w:t>L</w:t>
            </w:r>
            <w:r>
              <w:rPr>
                <w:rStyle w:val="Hyperlink.0"/>
                <w:sz w:val="23"/>
                <w:szCs w:val="23"/>
                <w:rtl w:val="0"/>
              </w:rPr>
              <w:t>ää</w:t>
            </w:r>
            <w:r>
              <w:rPr>
                <w:rStyle w:val="None"/>
                <w:outline w:val="0"/>
                <w:color w:val="0563c1"/>
                <w:sz w:val="23"/>
                <w:szCs w:val="23"/>
                <w:u w:val="single" w:color="0563c1"/>
                <w:shd w:val="nil" w:color="auto" w:fill="auto"/>
                <w:rtl w:val="0"/>
                <w:lang w:val="nl-NL"/>
                <w14:textFill>
                  <w14:solidFill>
                    <w14:srgbClr w14:val="0563C1"/>
                  </w14:solidFill>
                </w14:textFill>
              </w:rPr>
              <w:t>ne maakonnaplaneering 2030+;</w:t>
            </w:r>
            <w:r>
              <w:rPr>
                <w:sz w:val="23"/>
                <w:szCs w:val="23"/>
              </w:rPr>
              <w:fldChar w:fldCharType="end" w:fldLock="0"/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Vormsi valla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ldplaneering;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Vormsi valla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lade asustusstruktuuri ja traditsioonilise arhitektuuri anal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s.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sv-SE"/>
              </w:rPr>
              <w:t>lamilj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öö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rtuste hindamine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(Kadi Karine, Eesti Vaba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humuuseum, 2011);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Vormsi maastikuhoolduskava (Kristiina Hellstr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m, 2008);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Vormsi valla 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tmehoolduseeskiri;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Vormsi valla reovee kohtk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itluse ja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raveo eeskiri;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KSH eelhinnang, Lemma O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Ü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27.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07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.202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3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Vabariigi Valitsuse 28.02.2006 </w:t>
            </w:r>
            <w:r>
              <w:rPr>
                <w:rStyle w:val="Hyperlink.0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sz w:val="22"/>
                <w:szCs w:val="22"/>
              </w:rPr>
              <w:instrText xml:space="preserve"> HYPERLINK "https://www.riigiteataja.ee/akt/13343915?leiaKehtiv"</w:instrText>
            </w:r>
            <w:r>
              <w:rPr>
                <w:rStyle w:val="Hyperlink.0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sz w:val="22"/>
                <w:szCs w:val="22"/>
                <w:rtl w:val="0"/>
              </w:rPr>
              <w:t>m</w:t>
            </w:r>
            <w:r>
              <w:rPr>
                <w:rStyle w:val="Hyperlink.0"/>
                <w:sz w:val="22"/>
                <w:szCs w:val="22"/>
                <w:rtl w:val="0"/>
              </w:rPr>
              <w:t>ää</w:t>
            </w:r>
            <w:r>
              <w:rPr>
                <w:rStyle w:val="Hyperlink.0"/>
                <w:sz w:val="22"/>
                <w:szCs w:val="22"/>
                <w:rtl w:val="0"/>
              </w:rPr>
              <w:t>rus nr 59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 „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Hoiualade kaitse alla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tmine 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ne maakonnas</w:t>
            </w:r>
            <w:r>
              <w:rPr>
                <w:rStyle w:val="None"/>
                <w:sz w:val="22"/>
                <w:szCs w:val="22"/>
                <w:shd w:val="nil" w:color="auto" w:fill="auto"/>
                <w:vertAlign w:val="superscript"/>
                <w:rtl w:val="0"/>
              </w:rPr>
              <w:t>1</w:t>
            </w:r>
            <w:r>
              <w:rPr>
                <w:rStyle w:val="None"/>
                <w:rFonts w:ascii="Arial Unicode MS" w:hAnsi="Arial Unicode MS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</w:p>
          <w:p>
            <w:pPr>
              <w:pStyle w:val="Normal.0"/>
              <w:rPr>
                <w:rStyle w:val="None"/>
                <w:sz w:val="22"/>
                <w:szCs w:val="22"/>
              </w:rPr>
            </w:pPr>
            <w:r>
              <w:rPr>
                <w:rtl w:val="0"/>
              </w:rPr>
              <w:t>Regionaal- ja P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</w:rPr>
              <w:t xml:space="preserve">llumajandusministeerumi </w:t>
            </w:r>
            <w:r>
              <w:rPr>
                <w:rStyle w:val="None"/>
                <w:sz w:val="22"/>
                <w:szCs w:val="22"/>
                <w:rtl w:val="0"/>
              </w:rPr>
              <w:t xml:space="preserve">kiri </w:t>
            </w:r>
            <w:r>
              <w:rPr>
                <w:rStyle w:val="None"/>
                <w:sz w:val="22"/>
                <w:szCs w:val="22"/>
                <w:rtl w:val="0"/>
              </w:rPr>
              <w:t>21.08.2023 nr 14-3/809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Keskkonnaameti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19.07.2023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kiri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6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-5/23/14167-2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ttesaadavad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"https://vormsi.ee/"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de-DE"/>
              </w:rPr>
              <w:t>https://vormsi.ee/</w:t>
            </w:r>
            <w:r>
              <w:rPr/>
              <w:fldChar w:fldCharType="end" w:fldLock="0"/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80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 UURINGUD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Eksperthinnang maatulundusmaa sihtotstarbe muutmisest tuleneva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ju kohta rohelise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rgustiku toimimisele.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Kui detailplaneeringu edasise menetluse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igus selgub, et planeeringu-lahenduse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ljat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tamiseks on vajalik teha t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iendavaid uuringuid, anal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se, ekspertiise vms, siis tuleb need teha ning planeeringusse lisada.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67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6. EHITUSLIKUD JA ARHITEKTUURSED N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UDED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TERRITOORIUMI KRUNTIDEKS JAOTUS: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rata planeeringuga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KRUN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DI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 KATASTRI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KSUSE SIHTOTSTARVE: vastavalt hoone kasutusotstarbele, milleks on elamu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LUBATUD SUURIM EHITISTE ARV: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rata planeeringuga, kaasa arvatud alla 20 ruutmeetrised hooned, kui neid soovitakse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stitada. 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s-ES_tradnl"/>
              </w:rPr>
              <w:t>rgida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ljakujunenud traditsioonilist hoonestuse tihedust ja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struktuuri.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LUBATUD SUURIM EHITISEALUNE PIND: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it-IT"/>
              </w:rPr>
              <w:t>rata planeeringuga, 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s-ES_tradnl"/>
              </w:rPr>
              <w:t>rgida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ljakujunenud traditsioonilisi ehitusmahtusid.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HOONESTUSALA: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planeeringuga. S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ilitada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imalikult olemasoleva rohumaa massiivi terviklikkust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HOONETE TULEP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SIVUSKLASS: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HOONETE KORRUSELISUS: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it-IT"/>
              </w:rPr>
              <w:t>rata planeeringuga, 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rgida traditsioonilist hoone mahtu ja korruselisust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HOONETE MAKSIMAALNE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RGUS: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it-IT"/>
              </w:rPr>
              <w:t>rata planeeringuga, 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rgida traditsioonilist hoone mahtu ja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rgust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HOONETE MAKSIMAALNE S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GAVUS: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HOONETE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RGUSLIK SIDUMINE </w:t>
            </w:r>
            <w:r>
              <w:rPr>
                <w:rStyle w:val="None"/>
                <w:rFonts w:ascii="Arial Unicode MS" w:hAnsi="Arial Unicode MS" w:hint="default"/>
                <w:sz w:val="22"/>
                <w:szCs w:val="22"/>
                <w:shd w:val="nil" w:color="auto" w:fill="auto"/>
                <w:rtl w:val="1"/>
              </w:rPr>
              <w:t>±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0.00/ sokli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s-ES_tradnl"/>
              </w:rPr>
              <w:t>rgus: lahendada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him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tteline vertikaalplaneerimine ja planeeritud maapinna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rgusm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rgid ning hoonestuse ehituslikud sidumisk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rgused.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KATUSEKALDED JA -KATE, HARJAJOONE SUUND,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LISVIIMISTLUS: kavandada harmoneeruvalt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mbritseva milj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ga, 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htuda piirkonnas traditsioonilisest viilkatusest ja katusekaldest, kasutada Vormsile omaseid materjale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s-ES_tradnl"/>
              </w:rPr>
              <w:t>KRUNTIDE PIIRID JA PIIRDED: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rata planeeringuga, piirded kavandada harmoneeruvalt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mbritseva milj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ga ja sobitada maastikusse, piirete osas arvesta rohev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rgustikuga, sh loomade vaba liikumisv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imalusega, piirdega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mbritseda ainult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ueala.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EHITISTE VAHELISED KUJAD: vastavalt tuleohutusn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s-ES_tradnl"/>
              </w:rPr>
              <w:t>uetele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s-ES_tradnl"/>
              </w:rPr>
              <w:t>SERVITUUDIALAD: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KOHUSTUSLIKUD EHITUSJOONED: puuduvad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JUURDEP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sv-SE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SUD KRUNTIDELE: Planeeringuala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hja-l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unasuunaliselt 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bivalt pinnasteelt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TEED: arvestada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stetehnika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tmete ja juurdep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suvajadustega.</w:t>
            </w:r>
            <w:r>
              <w:rPr>
                <w:rStyle w:val="None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it-IT"/>
              </w:rPr>
              <w:t>Planeeringuala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hja-l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unasuunaliselt 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biva pinnastee avalik kasutus peab s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ilima.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PARKIMISTINGIMUSED: Parkimine lahendada kinnistu siseselt.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HEAKORD JA HALJASTUS: seada tingimused haljastusele ja heakorrale. Hoonete ja teede rajamisel arvestada nende maastikusse sobitamisega. Uushaljastuse rajamisel arvestada taimede sobivust looduslikule alale, eelistada kodumaiseid puu- ja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saliike.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sv-SE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TMEK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ITLUS: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rata planeeringuga, arvestada Vormsi valla 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tmehoolduseeskirjast tulenevaga. Juurdep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s 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tmemahutitele peab olema piisava laiuse, vaba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rguse ja kandev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imega ning tasane.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80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7. INSENERV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Õ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RKUDE PROJEKTEERIMISTINGIMUSED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VEEVARUSTUS: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 lokaalselt.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REOVEE KANALISEERIMINE: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 lokaalselt. Eeldatav reoveek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itluslahendus on kogumismahuti kasutamine. Kohtpuhasti rajamine ning heitvee suublasse juhtimine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 pinnasesse immutamine ei ole antud asukohas lubatav. Lahendada reovee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itlus vastavalt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hjavee kaitstusele ning Vormsi valla reovee kohtk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itluse ja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raveo eeskirjale.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SADEMEVEE IMMUTAMINE: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ELEKTRIVARUSTUS: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SIDEVARUSTUS: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SOOJAVARUSTUS: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rata planeeringuga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8. KOOST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ÖÖ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 KAASAMINE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Asutustega koost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öö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tegemine ja planeeringute koosk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lastamine vastavalt Vabariigi Valitsuse 17.12.2015. a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rus nr 133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Regionaal- ja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llumajandusministeerium (heakskiitja), KSH koostamise vajaduse osas arvamuse andja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Keskkonnaamet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steamet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Imatra Elekter AS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Sidelahenduste kavandamisel sideteenuse ettev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tja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Isikud, kelle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igusi planeering puudutab, sh naaberkinnistute omanikud, ka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le tee paiknevad naaberkinnistute omanikud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2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9. PLANEERINGU KOOSSEIS JA VORMISTAMINE</w:t>
            </w:r>
          </w:p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DETAILPLANEERINGU JOONISED VORMISTADA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ÕÕ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TKAVAS 1:500</w:t>
            </w:r>
          </w:p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s-ES_tradnl"/>
              </w:rPr>
              <w:t>ESKIISLAHENDUSEGA koos esitada t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end detailplaneeringu koostaja vastavuse kohta planeerimisseaduse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§ 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6 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ikes 10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rgitud planeerija definitsioonile.</w:t>
            </w:r>
          </w:p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Geoalus peab vastama majandus- ja taristuministri 14. aprilli 2016. a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rusele nr 34 "Topo-geodeetilisele uuringule ja teostusm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distamisele esitatavad n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uded".</w:t>
            </w:r>
          </w:p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Planeeringu seletuskirjas esitatakse planeeringulahenduse vastavus alal kehtivale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ldplaneeringule ja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rtusliku maastiku, ning rohev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rgustiku osas vastavus maakonnaplaneeringule.</w:t>
            </w:r>
          </w:p>
        </w:tc>
      </w:tr>
      <w:tr>
        <w:tblPrEx>
          <w:shd w:val="clear" w:color="auto" w:fill="cdd4e9"/>
        </w:tblPrEx>
        <w:trPr>
          <w:trHeight w:val="83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Vastuv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tmise hetkeks peab planeering vastama Riigihalduse ministri 17.10.2019 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rusele nr. 50 ,,Planeeringu vormistamisele ja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lesehitusele esitatavad n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uded</w:t>
            </w:r>
            <w:r>
              <w:rPr>
                <w:rStyle w:val="None"/>
                <w:rFonts w:ascii="Arial Unicode MS" w:hAnsi="Arial Unicode MS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DETAILPLANEERINGU KOOSSEISUS ESITADA: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SELETUSKIRI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ASENDISKEEM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TUGIJOONIS: geodeetilisel alusel olemasolevate tehnov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rkude ja krundipiiridega ning olemasolevate piirangutega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HIJOONIS.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hijoonisel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ib esitada ka tehnov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rgud, kruntimise jm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KONTAKTV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NDI JOONIS</w:t>
            </w:r>
          </w:p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LISAMATERJALID: tehnilised tingimused, koosk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lastused, koosk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lastuste koondtabel, kokkulepped jm lepingud ning kirjavahetus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korrastatult ajalises j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rjestuses</w:t>
            </w:r>
          </w:p>
        </w:tc>
      </w:tr>
      <w:tr>
        <w:tblPrEx>
          <w:shd w:val="clear" w:color="auto" w:fill="cdd4e9"/>
        </w:tblPrEx>
        <w:trPr>
          <w:trHeight w:val="106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Kui detailplaneering sisaldab kehtestatud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ldplaneeringu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hilahenduse muutmise ettepanekut, kuulub detailplaneeringu koosseisu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ldplaneeringu teksti ja jooniste vastava osa muudatuste ettepanek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10. PLANEERINGU ESITAMINE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DETAILPLANEERING ESITADA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ESKIISI STAADIUMIS TUTVUSTAMISEKS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ks eksemplar paberkandjal, digitaalselt pdf formaadis.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AVALIKUSTAMISEKS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ks eksemplar paberkandjal, digitaalselt pdf formaadis, lisaks planeeringulahenduse ruumiline illustratsioon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+</w:t>
            </w:r>
          </w:p>
        </w:tc>
        <w:tc>
          <w:tcPr>
            <w:tcW w:type="dxa" w:w="597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 xml:space="preserve">KEHTESTAMISEKS paberkandjal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nl-NL"/>
              </w:rPr>
              <w:t>ks eksemplar, digitaalselt CD-l pdf ja dwg formaadis.</w:t>
            </w:r>
          </w:p>
        </w:tc>
      </w:tr>
      <w:tr>
        <w:tblPrEx>
          <w:shd w:val="clear" w:color="auto" w:fill="cdd4e9"/>
        </w:tblPrEx>
        <w:trPr>
          <w:trHeight w:val="295" w:hRule="atLeast"/>
        </w:trPr>
        <w:tc>
          <w:tcPr>
            <w:tcW w:type="dxa" w:w="2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11. PLANEERITAV ESIALGNE AJAKAVA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(ajakava v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ib muutuda olenevalt detailplaneeringu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</w:rPr>
              <w:t>koostamise menetlusetappide tegelikust ajakulust).</w:t>
            </w:r>
          </w:p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Detailplaneering tuleb kehtestada 3 aasta jooksul selle algatamisest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Menetlus vastavalt planeerimisseadus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§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142, vt menetluse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"https://planeerimine.blogi.fin.ee/wp-content/uploads/2021/05/2020_12_01_DP_muutev_KSHta.pdf"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  <w:lang w:val="en-US"/>
              </w:rPr>
              <w:t>SKEEM</w:t>
            </w:r>
            <w:r>
              <w:rPr/>
              <w:fldChar w:fldCharType="end" w:fldLock="0"/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s-ES_tradnl"/>
              </w:rPr>
              <w:t>DP algatamine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september 2023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DP 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hteseisukohtade kohta ettepanekute 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simine koost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öö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tegijatelt ja kaasatavatelt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30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6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Ettepanekute alusel 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hteseisukohtade t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iendamine ja avalikustamine valla veebilehel koos nende kohta esitatud ettepanekutega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30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DP eskiislahenduse koostamine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november-detsember 2023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6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DP eskiislahenduse avalik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ljapanek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(jaanuar 2024)</w:t>
            </w:r>
          </w:p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30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 ja teavitamine 14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 enne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2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DP eskiislahenduse avalik arutelu 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45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Style w:val="None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jooksul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rast avaliku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ljapaneku 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ppu ja teavitamine 14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 enne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DP lahenduse t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psustamine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jc w:val="left"/>
            </w:pPr>
            <w:r>
              <w:rPr>
                <w:rFonts w:ascii="Calibri" w:hAnsi="Calibri"/>
                <w:sz w:val="22"/>
                <w:szCs w:val="22"/>
                <w:rtl w:val="0"/>
              </w:rPr>
              <w:t>aprill 2024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DP koosk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lastamine ja esitamine arvamuse avaldamiseks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30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Vajadusel DP lahenduse korrigeerimine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juuni-juuli 2024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DP vastuv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tmine Vallavolikogu poolt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august 2024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Ehituskeeluv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öö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ndi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hendamise taotlus Keskkonnaametile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30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DP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hilahenduse avalik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ljapanek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30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 ja teavitamine 14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 enne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DP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hilahenduse avalik arutelu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45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 jooksul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rast avaliku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ljapaneku l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ppu</w:t>
            </w:r>
            <w:r>
              <w:rPr>
                <w:rStyle w:val="None"/>
                <w:shd w:val="nil" w:color="auto" w:fill="auto"/>
                <w:rtl w:val="0"/>
              </w:rPr>
              <w:t xml:space="preserve">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ja teavitamine 14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 enne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Vajadusel DP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pt-PT"/>
              </w:rPr>
              <w:t>õ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hilahenduse muudatuste tegemine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8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november-detsember 2024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 xml:space="preserve">DP esitamine heakskiitmiseks regionaalministrile 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60 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ä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eva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DP kehtestamine Vallavolikogu poolt</w:t>
            </w:r>
          </w:p>
        </w:tc>
        <w:tc>
          <w:tcPr>
            <w:tcW w:type="dxa" w:w="2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</w:rPr>
              <w:t>veebruar 2025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0" w:after="0"/>
        <w:ind w:left="108" w:hanging="108"/>
        <w:jc w:val="left"/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before="0" w:after="0"/>
        <w:jc w:val="left"/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0" w:after="0"/>
        <w:jc w:val="left"/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8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u w:val="single" w:color="0563c1"/>
      <w:shd w:val="nil" w:color="auto" w:fill="auto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563c1"/>
      <w:sz w:val="22"/>
      <w:szCs w:val="22"/>
      <w:u w:val="single" w:color="0563c1"/>
      <w:shd w:val="nil" w:color="auto" w:fill="auto"/>
      <w:lang w:val="de-DE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outline w:val="0"/>
      <w:color w:val="0563c1"/>
      <w:sz w:val="22"/>
      <w:szCs w:val="22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