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2647" w:type="dxa"/>
        <w:jc w:val="left"/>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0" w:type="dxa"/>
          <w:bottom w:w="0" w:type="dxa"/>
          <w:right w:w="70" w:type="dxa"/>
        </w:tblCellMar>
        <w:tblLook w:firstRow="1" w:noVBand="0" w:lastRow="0" w:firstColumn="1" w:lastColumn="0" w:noHBand="0" w:val="00a0"/>
      </w:tblPr>
      <w:tblGrid>
        <w:gridCol w:w="5381"/>
        <w:gridCol w:w="592"/>
        <w:gridCol w:w="585"/>
        <w:gridCol w:w="749"/>
        <w:gridCol w:w="617"/>
        <w:gridCol w:w="674"/>
        <w:gridCol w:w="1"/>
        <w:gridCol w:w="4047"/>
      </w:tblGrid>
      <w:tr>
        <w:trPr>
          <w:trHeight w:val="73" w:hRule="atLeast"/>
          <w:cantSplit w:val="true"/>
        </w:trPr>
        <w:tc>
          <w:tcPr>
            <w:tcW w:w="538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jc w:val="center"/>
              <w:rPr>
                <w:rFonts w:ascii="Verdana" w:hAnsi="Verdana" w:cs="Arial"/>
                <w:b/>
                <w:b/>
                <w:bCs/>
                <w:sz w:val="18"/>
                <w:szCs w:val="18"/>
              </w:rPr>
            </w:pPr>
            <w:r>
              <w:rPr>
                <w:rFonts w:cs="Arial" w:ascii="Verdana" w:hAnsi="Verdana"/>
                <w:b/>
                <w:bCs/>
                <w:sz w:val="18"/>
                <w:szCs w:val="18"/>
              </w:rPr>
              <w:t>Tegevus</w:t>
            </w:r>
          </w:p>
        </w:tc>
        <w:tc>
          <w:tcPr>
            <w:tcW w:w="321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jc w:val="center"/>
              <w:rPr>
                <w:rFonts w:ascii="Verdana" w:hAnsi="Verdana" w:cs="Arial"/>
                <w:b/>
                <w:b/>
                <w:bCs/>
                <w:sz w:val="16"/>
                <w:szCs w:val="16"/>
              </w:rPr>
            </w:pPr>
            <w:r>
              <w:rPr>
                <w:rFonts w:cs="Arial" w:ascii="Verdana" w:hAnsi="Verdana"/>
                <w:b/>
                <w:bCs/>
                <w:sz w:val="16"/>
                <w:szCs w:val="16"/>
              </w:rPr>
              <w:t>Teostamise aeg</w:t>
            </w:r>
          </w:p>
        </w:tc>
        <w:tc>
          <w:tcPr>
            <w:tcW w:w="404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jc w:val="center"/>
              <w:rPr/>
            </w:pPr>
            <w:r>
              <w:rPr>
                <w:rFonts w:cs="Arial" w:ascii="Verdana" w:hAnsi="Verdana"/>
                <w:b/>
                <w:bCs/>
                <w:sz w:val="16"/>
                <w:szCs w:val="16"/>
              </w:rPr>
              <w:t xml:space="preserve">Seotud </w:t>
            </w:r>
            <w:r>
              <w:rPr>
                <w:rFonts w:cs="Arial" w:ascii="Verdana" w:hAnsi="Verdana"/>
                <w:b/>
                <w:bCs/>
                <w:color w:val="00000A"/>
                <w:sz w:val="16"/>
                <w:szCs w:val="16"/>
              </w:rPr>
              <w:t>osapooled ja võimalikud rahastajad</w:t>
            </w:r>
          </w:p>
        </w:tc>
      </w:tr>
      <w:tr>
        <w:trPr>
          <w:trHeight w:val="631" w:hRule="atLeast"/>
          <w:cantSplit w:val="true"/>
        </w:trPr>
        <w:tc>
          <w:tcPr>
            <w:tcW w:w="538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rPr>
                <w:rFonts w:ascii="Verdana" w:hAnsi="Verdana" w:cs="Arial"/>
                <w:b/>
                <w:b/>
                <w:bCs/>
                <w:sz w:val="20"/>
                <w:szCs w:val="20"/>
              </w:rPr>
            </w:pPr>
            <w:r>
              <w:rPr>
                <w:rFonts w:cs="Arial" w:ascii="Verdana" w:hAnsi="Verdana"/>
                <w:b/>
                <w:bCs/>
                <w:sz w:val="20"/>
                <w:szCs w:val="20"/>
              </w:rPr>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rPr>
                <w:rFonts w:ascii="Verdana" w:hAnsi="Verdana" w:cs="Arial"/>
                <w:b/>
                <w:b/>
                <w:bCs/>
                <w:sz w:val="16"/>
                <w:szCs w:val="16"/>
              </w:rPr>
            </w:pPr>
            <w:r>
              <w:rPr>
                <w:rFonts w:cs="Arial" w:ascii="Verdana" w:hAnsi="Verdana"/>
                <w:b/>
                <w:bCs/>
                <w:sz w:val="16"/>
                <w:szCs w:val="16"/>
              </w:rPr>
              <w:t>2017</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rPr>
                <w:rFonts w:ascii="Verdana" w:hAnsi="Verdana" w:cs="Arial"/>
                <w:b/>
                <w:b/>
                <w:bCs/>
                <w:sz w:val="16"/>
                <w:szCs w:val="16"/>
              </w:rPr>
            </w:pPr>
            <w:r>
              <w:rPr>
                <w:rFonts w:cs="Arial" w:ascii="Verdana" w:hAnsi="Verdana"/>
                <w:b/>
                <w:bCs/>
                <w:sz w:val="16"/>
                <w:szCs w:val="16"/>
              </w:rPr>
              <w:t>2018</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rPr>
                <w:rFonts w:ascii="Verdana" w:hAnsi="Verdana" w:cs="Arial"/>
                <w:b/>
                <w:b/>
                <w:bCs/>
                <w:sz w:val="16"/>
                <w:szCs w:val="16"/>
              </w:rPr>
            </w:pPr>
            <w:r>
              <w:rPr>
                <w:rFonts w:cs="Arial" w:ascii="Verdana" w:hAnsi="Verdana"/>
                <w:b/>
                <w:bCs/>
                <w:sz w:val="16"/>
                <w:szCs w:val="16"/>
              </w:rPr>
              <w:t>2019</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rPr>
                <w:rFonts w:ascii="Verdana" w:hAnsi="Verdana" w:cs="Arial"/>
                <w:b/>
                <w:b/>
                <w:bCs/>
                <w:sz w:val="16"/>
                <w:szCs w:val="16"/>
              </w:rPr>
            </w:pPr>
            <w:r>
              <w:rPr>
                <w:rFonts w:cs="Arial" w:ascii="Verdana" w:hAnsi="Verdana"/>
                <w:b/>
                <w:bCs/>
                <w:sz w:val="16"/>
                <w:szCs w:val="16"/>
              </w:rPr>
              <w:t>2020</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D9D9D9" w:val="clear"/>
            <w:tcMar>
              <w:left w:w="50" w:type="dxa"/>
            </w:tcMar>
          </w:tcPr>
          <w:p>
            <w:pPr>
              <w:pStyle w:val="Normal"/>
              <w:rPr>
                <w:rFonts w:ascii="Verdana" w:hAnsi="Verdana" w:cs="Arial"/>
                <w:b/>
                <w:b/>
                <w:bCs/>
                <w:sz w:val="16"/>
                <w:szCs w:val="16"/>
              </w:rPr>
            </w:pPr>
            <w:r>
              <w:rPr>
                <w:rFonts w:cs="Arial" w:ascii="Verdana" w:hAnsi="Verdana"/>
                <w:b/>
                <w:bCs/>
                <w:sz w:val="16"/>
                <w:szCs w:val="16"/>
              </w:rPr>
              <w:t>2021</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rPr>
                <w:rFonts w:ascii="Verdana" w:hAnsi="Verdana" w:cs="Arial"/>
                <w:b/>
                <w:b/>
                <w:bCs/>
                <w:sz w:val="20"/>
                <w:szCs w:val="20"/>
              </w:rPr>
            </w:pPr>
            <w:r>
              <w:rPr>
                <w:rFonts w:cs="Arial" w:ascii="Verdana" w:hAnsi="Verdana"/>
                <w:b/>
                <w:bCs/>
                <w:sz w:val="20"/>
                <w:szCs w:val="20"/>
              </w:rPr>
            </w:r>
          </w:p>
        </w:tc>
      </w:tr>
      <w:tr>
        <w:trPr>
          <w:trHeight w:val="432"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color w:val="FFFF00"/>
                <w:sz w:val="16"/>
                <w:szCs w:val="16"/>
              </w:rPr>
            </w:pPr>
            <w:r>
              <w:rPr>
                <w:rFonts w:cs="Arial" w:ascii="Verdana" w:hAnsi="Verdana"/>
                <w:b/>
                <w:sz w:val="16"/>
                <w:szCs w:val="16"/>
                <w:highlight w:val="yellow"/>
              </w:rPr>
              <w:t>03200 Avalik kord ja julgeolek</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color w:val="FF0000"/>
                <w:sz w:val="16"/>
                <w:szCs w:val="16"/>
              </w:rPr>
            </w:pPr>
            <w:r>
              <w:rPr>
                <w:rFonts w:cs="Arial" w:ascii="Verdana" w:hAnsi="Verdana"/>
                <w:sz w:val="16"/>
                <w:szCs w:val="16"/>
              </w:rPr>
              <w:t>Tuletõrje veevõtukohtade rajamine ja renoveerimine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color w:val="FF0000"/>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 </w:t>
            </w: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 erasektor</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Päästevõimekuse arendamine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MTÜ’d, Siseministeerium, KOV</w:t>
            </w:r>
          </w:p>
        </w:tc>
      </w:tr>
      <w:tr>
        <w:trPr>
          <w:trHeight w:val="414"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04210 Põllumajandus</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Kuivenduskraavide registrisse kandmine ja taastamine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color w:val="FF0000"/>
                <w:sz w:val="16"/>
                <w:szCs w:val="16"/>
              </w:rPr>
            </w:pPr>
            <w:r>
              <w:rPr>
                <w:rFonts w:cs="Arial" w:ascii="Verdana" w:hAnsi="Verdana"/>
                <w:sz w:val="16"/>
                <w:szCs w:val="16"/>
              </w:rPr>
              <w:t xml:space="preserve">Erasektor </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color w:val="FF0000"/>
                <w:sz w:val="16"/>
                <w:szCs w:val="16"/>
              </w:rPr>
            </w:pPr>
            <w:r>
              <w:rPr>
                <w:rFonts w:cs="Arial" w:ascii="Verdana" w:hAnsi="Verdana"/>
                <w:sz w:val="16"/>
                <w:szCs w:val="16"/>
              </w:rPr>
              <w:t>Põllumajandusloomade tapapunkti ning põllumajandus- ja jahiloomade esmase töötluspunkti rajamine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highlight w:val="yellow"/>
              </w:rPr>
            </w:pPr>
            <w:r>
              <w:rPr>
                <w:rFonts w:cs="Arial" w:ascii="Verdana" w:hAnsi="Verdana"/>
                <w:sz w:val="16"/>
                <w:szCs w:val="16"/>
              </w:rPr>
              <w:t>Erasektor, MTÜ’d, LEADER</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Nõuetele vastava loomsete jäätmete matmisplatsi projekteerimine ja rajamine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erasektor, MTÜ’d, KIK, LEADER</w:t>
            </w:r>
          </w:p>
        </w:tc>
      </w:tr>
      <w:tr>
        <w:trPr>
          <w:trHeight w:val="407"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04410 Mineraalse toorme kaevandamine</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Borrby karjääri kaevandusloa taotlemine ja kasutuselevõtt</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color w:val="FF0000"/>
                <w:sz w:val="16"/>
                <w:szCs w:val="16"/>
              </w:rPr>
            </w:pPr>
            <w:r>
              <w:rPr>
                <w:rFonts w:cs="Arial" w:ascii="Verdana" w:hAnsi="Verdana"/>
                <w:sz w:val="16"/>
                <w:szCs w:val="16"/>
              </w:rPr>
              <w:t xml:space="preserve">KOV, erasektor, </w:t>
            </w:r>
          </w:p>
        </w:tc>
      </w:tr>
      <w:tr>
        <w:trPr>
          <w:trHeight w:val="432"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04510 Maanteetransport</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 xml:space="preserve">Valla teede remont ja ehitus </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Jalgratta-ja loodusturismi teede ning päästetehnika liikumisteede remont</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erasektor, KIK</w:t>
            </w:r>
          </w:p>
        </w:tc>
      </w:tr>
      <w:tr>
        <w:trPr>
          <w:trHeight w:val="323"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04520 Veetransport</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Väikesadamate ja lautrikohtade planeeringute lõpetamine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 </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Rälby väikesadama arendamine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MTÜ’d, erasektor, LEADER, KOV</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Saxby slipi planeerimine, projekteerimine, ehitamine ja päästekuuri taastamine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Sviby sadama II etapi ehitus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RAS</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Sviby sadama III etapi ehitus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RAS</w:t>
            </w:r>
          </w:p>
        </w:tc>
      </w:tr>
      <w:tr>
        <w:trPr>
          <w:trHeight w:val="317"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04600 Side</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pPr>
            <w:r>
              <w:rPr>
                <w:rFonts w:cs="Arial" w:ascii="Verdana" w:hAnsi="Verdana"/>
                <w:sz w:val="16"/>
                <w:szCs w:val="16"/>
              </w:rPr>
              <w:t>Vormsi internetivõrgu arendus s.h. ELASA ja „viimane miil“</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color w:val="FF0000"/>
                <w:sz w:val="16"/>
                <w:szCs w:val="16"/>
              </w:rPr>
            </w:pPr>
            <w:r>
              <w:rPr>
                <w:rFonts w:cs="Arial" w:ascii="Verdana" w:hAnsi="Verdana"/>
                <w:sz w:val="16"/>
                <w:szCs w:val="16"/>
              </w:rPr>
              <w:t>KOV, EAS, LEADER, erasektor</w:t>
            </w:r>
          </w:p>
        </w:tc>
      </w:tr>
      <w:tr>
        <w:trPr>
          <w:trHeight w:val="353"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04740 Üldmajanduslikud arendusprojektid</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tabs>
                <w:tab w:val="left" w:pos="4114" w:leader="none"/>
              </w:tabs>
              <w:rPr>
                <w:rFonts w:ascii="Verdana" w:hAnsi="Verdana" w:cs="Arial"/>
                <w:sz w:val="16"/>
                <w:szCs w:val="16"/>
              </w:rPr>
            </w:pPr>
            <w:r>
              <w:rPr>
                <w:rFonts w:cs="Arial" w:ascii="Verdana" w:hAnsi="Verdana"/>
                <w:sz w:val="16"/>
                <w:szCs w:val="16"/>
              </w:rPr>
              <w:t>Üldplaneeringu teemaplaneeringu koostamise lõpetamine</w:t>
              <w:tab/>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w:t>
            </w:r>
          </w:p>
        </w:tc>
      </w:tr>
      <w:tr>
        <w:trPr>
          <w:trHeight w:val="63"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Vormsi kaubamärgi rakendamine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 erasektor</w:t>
            </w:r>
          </w:p>
        </w:tc>
      </w:tr>
      <w:tr>
        <w:trPr>
          <w:trHeight w:val="206"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Tervisekaitse nõuetele vastava tunnustatud ühisköögi (Vormsi tootearenduskeskuse) planeerimine, projekteerimine ja rajamine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 erasektor, EAS, LEADER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Ettevõtlusala korrastamine ja infrastruktuuri rajamine Hullos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 erasektor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Väikelennukite lennuvälja infrastruktuuri projekteerimine ja väljaarendamine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sz w:val="16"/>
                <w:szCs w:val="16"/>
              </w:rPr>
              <w:t>X </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color w:val="FF0000"/>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Erasektor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Helikopteriplatsi kapitaalremont ja nõuetele vastavusse viimine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EAS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Sviby rekreatsiooniala detailplaneeringu koostamine ja ala arendamine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00000A"/>
                <w:sz w:val="16"/>
                <w:szCs w:val="16"/>
              </w:rPr>
            </w:pPr>
            <w:r>
              <w:rPr>
                <w:rFonts w:cs="Arial" w:ascii="Verdana" w:hAnsi="Verdana"/>
                <w:color w:val="00000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00000A"/>
                <w:sz w:val="16"/>
                <w:szCs w:val="16"/>
              </w:rPr>
            </w:pPr>
            <w:r>
              <w:rPr>
                <w:rFonts w:cs="Arial" w:ascii="Verdana" w:hAnsi="Verdana"/>
                <w:color w:val="00000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bCs/>
                <w:color w:val="00000A"/>
                <w:sz w:val="16"/>
                <w:szCs w:val="16"/>
              </w:rPr>
            </w:pPr>
            <w:r>
              <w:rPr>
                <w:rFonts w:cs="Arial" w:ascii="Verdana" w:hAnsi="Verdana"/>
                <w:bCs/>
                <w:color w:val="00000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 erasektor, LAK, EAS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Saare külastajatele suunatud avaliku WC väljaehitamine Hullos valla abihoonesse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LEADER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Hullo katlamaja kapitaalremont</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KIK</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 xml:space="preserve">Koostootmisjaama projekteerimine </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bCs/>
                <w:color w:val="00000A"/>
                <w:sz w:val="16"/>
                <w:szCs w:val="16"/>
              </w:rPr>
            </w:pPr>
            <w:r>
              <w:rPr>
                <w:rFonts w:cs="Arial" w:ascii="Verdana" w:hAnsi="Verdana"/>
                <w:bCs/>
                <w:color w:val="00000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00000A"/>
                <w:sz w:val="16"/>
                <w:szCs w:val="16"/>
              </w:rPr>
            </w:pPr>
            <w:r>
              <w:rPr>
                <w:rFonts w:cs="Arial" w:ascii="Verdana" w:hAnsi="Verdana"/>
                <w:color w:val="00000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Koostootmisjaama ehitamine Hullos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00000A"/>
                <w:sz w:val="16"/>
                <w:szCs w:val="16"/>
              </w:rPr>
            </w:pPr>
            <w:r>
              <w:rPr>
                <w:rFonts w:cs="Arial" w:ascii="Verdana" w:hAnsi="Verdana"/>
                <w:color w:val="00000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00000A"/>
                <w:sz w:val="16"/>
                <w:szCs w:val="16"/>
              </w:rPr>
            </w:pPr>
            <w:r>
              <w:rPr>
                <w:rFonts w:cs="Arial" w:ascii="Verdana" w:hAnsi="Verdana"/>
                <w:bCs/>
                <w:color w:val="00000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erasektor, EAS, KIK</w:t>
            </w:r>
          </w:p>
        </w:tc>
      </w:tr>
      <w:tr>
        <w:trPr>
          <w:trHeight w:val="523"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05100 Jäätmekäitlus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Jäätmete taaskasutusplatsi rajamine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KIK</w:t>
            </w:r>
          </w:p>
        </w:tc>
      </w:tr>
      <w:tr>
        <w:trPr>
          <w:trHeight w:val="389"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rPr>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Sireli talu ehitamine munitsipaaleluruumideks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EAS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 xml:space="preserve">Uute munitsipaaleluruumide projekteerimine </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w:t>
            </w:r>
          </w:p>
        </w:tc>
      </w:tr>
      <w:tr>
        <w:trPr>
          <w:trHeight w:val="294"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06300 Veevarustus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Ühisveevärgi ja -kanalisatsiooni edasiarendamine Hullos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 </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 </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Haapsalu Veevärk AS</w:t>
            </w:r>
          </w:p>
        </w:tc>
      </w:tr>
      <w:tr>
        <w:trPr>
          <w:trHeight w:val="342"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066052 Kalmistud</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Vormsi kirikuaia ja surnuaia haljastuse ümberkujundmine ja vanade aedade taastamine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 </w:t>
            </w: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EELK Vormsi Püha Olavi Kogudus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59°00’00’ tähistamine Vabadussõja monumendi läheduses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MTÜ’d, EELK Vormsi Püha Olavi Kogudus</w:t>
            </w:r>
          </w:p>
        </w:tc>
      </w:tr>
      <w:tr>
        <w:trPr>
          <w:trHeight w:val="603"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vAlign w:val="center"/>
          </w:tcPr>
          <w:p>
            <w:pPr>
              <w:pStyle w:val="Normal"/>
              <w:jc w:val="center"/>
              <w:rPr>
                <w:rFonts w:ascii="Verdana" w:hAnsi="Verdana" w:cs="Arial"/>
                <w:b/>
                <w:b/>
                <w:sz w:val="16"/>
                <w:szCs w:val="16"/>
              </w:rPr>
            </w:pPr>
            <w:r>
              <w:rPr>
                <w:rFonts w:cs="Arial" w:ascii="Verdana" w:hAnsi="Verdana"/>
                <w:b/>
                <w:sz w:val="16"/>
                <w:szCs w:val="16"/>
                <w:highlight w:val="yellow"/>
              </w:rPr>
              <w:t>08207 Muinsuskaitse</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Suuremõisa pargi rekonstrueerimise I etapp ja projekt Vormsi kadunud vaated</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bookmarkStart w:id="0" w:name="_GoBack"/>
            <w:bookmarkEnd w:id="0"/>
            <w:r>
              <w:rPr>
                <w:rFonts w:cs="Arial" w:ascii="Verdana" w:hAnsi="Verdana"/>
                <w:sz w:val="16"/>
                <w:szCs w:val="16"/>
              </w:rPr>
              <w:t>KOV, erasektor, LEADER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Suuremõisa pargi rekonstrueerimise II etapp</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erasektor, LEADER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Sviby talumuuseumi väljaarendamine Vormsi pärimuskultuuri keskuseks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erasektor, LEADER, Kultuurkapital</w:t>
            </w:r>
          </w:p>
        </w:tc>
      </w:tr>
      <w:tr>
        <w:trPr>
          <w:trHeight w:val="416"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Vene Õigeusu kiriku varemete konserveerimine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EAÕK, KOV</w:t>
            </w:r>
          </w:p>
        </w:tc>
      </w:tr>
      <w:tr>
        <w:trPr>
          <w:trHeight w:val="294" w:hRule="atLeast"/>
        </w:trPr>
        <w:tc>
          <w:tcPr>
            <w:tcW w:w="12646"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b/>
                <w:b/>
                <w:sz w:val="16"/>
                <w:szCs w:val="16"/>
              </w:rPr>
            </w:pPr>
            <w:r>
              <w:rPr>
                <w:rFonts w:cs="Arial" w:ascii="Verdana" w:hAnsi="Verdana"/>
                <w:b/>
                <w:sz w:val="16"/>
                <w:szCs w:val="16"/>
                <w:highlight w:val="yellow"/>
              </w:rPr>
              <w:t>09212 Kool</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Koolimaja II korruse elektri ja valgustite vahetus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color w:val="FF0000"/>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Koolimaja fassaadi remont ja akende vahetus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color w:val="FF0000"/>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EAS</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Koolimaja laienduse ja spordiväljaku ehitamise I etapp (riietus ja dushiruumide ehitus ja spordiväljaku projekteerimine)</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 </w:t>
            </w:r>
            <w:r>
              <w:rPr>
                <w:rFonts w:cs="Arial" w:ascii="Verdana" w:hAnsi="Verdana"/>
                <w:sz w:val="16"/>
                <w:szCs w:val="16"/>
              </w:rPr>
              <w:t>X</w:t>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color w:val="FF0000"/>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EAS, erasektor</w:t>
            </w:r>
          </w:p>
        </w:tc>
      </w:tr>
      <w:tr>
        <w:trPr>
          <w:trHeight w:val="294" w:hRule="atLeast"/>
        </w:trPr>
        <w:tc>
          <w:tcPr>
            <w:tcW w:w="53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Koolimaja spordiväljaku ehitamise II etapp (spordiväljaku ehitus)</w:t>
            </w:r>
          </w:p>
        </w:tc>
        <w:tc>
          <w:tcPr>
            <w:tcW w:w="5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5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t>X</w:t>
            </w:r>
          </w:p>
        </w:tc>
        <w:tc>
          <w:tcPr>
            <w:tcW w:w="6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sz w:val="16"/>
                <w:szCs w:val="16"/>
              </w:rPr>
            </w:pPr>
            <w:r>
              <w:rPr>
                <w:rFonts w:cs="Arial" w:ascii="Verdana" w:hAnsi="Verdana"/>
                <w:sz w:val="16"/>
                <w:szCs w:val="16"/>
              </w:rPr>
            </w:r>
          </w:p>
        </w:tc>
        <w:tc>
          <w:tcPr>
            <w:tcW w:w="6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jc w:val="center"/>
              <w:rPr>
                <w:rFonts w:ascii="Verdana" w:hAnsi="Verdana" w:cs="Arial"/>
                <w:color w:val="FF0000"/>
                <w:sz w:val="16"/>
                <w:szCs w:val="16"/>
              </w:rPr>
            </w:pPr>
            <w:r>
              <w:rPr>
                <w:rFonts w:cs="Arial" w:ascii="Verdana" w:hAnsi="Verdana"/>
                <w:color w:val="FF0000"/>
                <w:sz w:val="16"/>
                <w:szCs w:val="16"/>
              </w:rPr>
            </w:r>
          </w:p>
        </w:tc>
        <w:tc>
          <w:tcPr>
            <w:tcW w:w="40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0" w:type="dxa"/>
            </w:tcMar>
          </w:tcPr>
          <w:p>
            <w:pPr>
              <w:pStyle w:val="Normal"/>
              <w:rPr>
                <w:rFonts w:ascii="Verdana" w:hAnsi="Verdana" w:cs="Arial"/>
                <w:sz w:val="16"/>
                <w:szCs w:val="16"/>
              </w:rPr>
            </w:pPr>
            <w:r>
              <w:rPr>
                <w:rFonts w:cs="Arial" w:ascii="Verdana" w:hAnsi="Verdana"/>
                <w:sz w:val="16"/>
                <w:szCs w:val="16"/>
              </w:rPr>
              <w:t>KOV, EAS, erasektor, MTÜ’d</w:t>
            </w:r>
          </w:p>
        </w:tc>
      </w:tr>
    </w:tbl>
    <w:p>
      <w:pPr>
        <w:pStyle w:val="Normal"/>
        <w:rPr>
          <w:b/>
          <w:b/>
          <w:u w:val="single"/>
        </w:rPr>
      </w:pPr>
      <w:r>
        <w:rPr>
          <w:b/>
          <w:u w:val="single"/>
        </w:rPr>
      </w:r>
    </w:p>
    <w:p>
      <w:pPr>
        <w:pStyle w:val="Normal"/>
        <w:rPr/>
      </w:pPr>
      <w:r>
        <w:rPr>
          <w:b/>
          <w:u w:val="single"/>
        </w:rPr>
        <w:t>Seletuskiri</w:t>
      </w:r>
    </w:p>
    <w:p>
      <w:pPr>
        <w:pStyle w:val="Normal"/>
        <w:jc w:val="both"/>
        <w:rPr/>
      </w:pPr>
      <w:r>
        <w:rPr/>
        <w:t>Arengukava tegevuskava ülesehitus järgib eelarve tegevusalade peatükkide järjekorda ning lähtutud on loogikast, et tegevuskavas kirjeldatakse projektipõhiseid, mitte rutiinseid tegevusi. Tabelisse on lisatud arengukavas sätestatud ja kavandatavad tegevused ning ka need, mis võiks lisanduda kuni 2021 aastani. Kuna arengukava on toetuste taotlemisel oluline dokument, siis on püütud siin näidata lisaks need tegevused mille teostajaks eeldatavasti on erasektor ja mis eelarve strateegias vahendite planeerimist ei vaja. Parandatud ja täpsustatud on sõnastust eesmärgiga muuta tabel arusaadavamaks ja ülevaatlikumaks.</w:t>
      </w:r>
    </w:p>
    <w:p>
      <w:pPr>
        <w:pStyle w:val="Normal"/>
        <w:jc w:val="both"/>
        <w:rPr/>
      </w:pPr>
      <w:r>
        <w:rPr/>
      </w:r>
    </w:p>
    <w:p>
      <w:pPr>
        <w:pStyle w:val="Normal"/>
        <w:jc w:val="both"/>
        <w:rPr>
          <w:b/>
          <w:b/>
          <w:u w:val="single"/>
        </w:rPr>
      </w:pPr>
      <w:r>
        <w:rPr>
          <w:b/>
          <w:u w:val="single"/>
        </w:rPr>
        <w:t>03200 Avalik kord ja julgeolek</w:t>
      </w:r>
    </w:p>
    <w:p>
      <w:pPr>
        <w:pStyle w:val="Normal"/>
        <w:jc w:val="both"/>
        <w:rPr/>
      </w:pPr>
      <w:r>
        <w:rPr/>
        <w:t>Lisaks olemasolevatele veevõtukohtadele projekteeritakse ning rajatakse kaasaja nõuetele vastav tuletõrje veevõtukohtade võrgustik, mis katab ära Vormsi tervikuna ning võimaldab operatiivselt reageerida võimaliku tulekahju korral. Munitsipaliseerimistaotlus on esitatud päästekeskuse ja Krogi vahel asuv riigile kuuluv krundi kohta, kuhu võimaldataks merepäästel ehitada tehnika ja erivahendite hoidmiseks külmhall. (VVAK eesmärk 2).</w:t>
      </w:r>
    </w:p>
    <w:p>
      <w:pPr>
        <w:pStyle w:val="Normal"/>
        <w:jc w:val="both"/>
        <w:rPr/>
      </w:pPr>
      <w:r>
        <w:rPr/>
      </w:r>
    </w:p>
    <w:p>
      <w:pPr>
        <w:pStyle w:val="Normal"/>
        <w:jc w:val="both"/>
        <w:rPr>
          <w:b/>
          <w:b/>
          <w:u w:val="single"/>
        </w:rPr>
      </w:pPr>
      <w:r>
        <w:rPr>
          <w:b/>
          <w:u w:val="single"/>
        </w:rPr>
        <w:t>04210 Põllumajandus</w:t>
      </w:r>
    </w:p>
    <w:p>
      <w:pPr>
        <w:pStyle w:val="Normal"/>
        <w:jc w:val="both"/>
        <w:rPr/>
      </w:pPr>
      <w:r>
        <w:rPr/>
        <w:t>Kuivenduskraavide süsteemi skeemlahendus võimaldab erasektoril kraavid registrisse kanda ja luua ühisusi toetuste taotlemiseks ning kraavisüsteemide taastamiseks. Erasektor rajab nõuetele vastava tapa- ja töötluspunkti. KOVon lõpetanud loomsete jäätmete matmisplatsi detailplaneeringu, projketeerib ala ning toetab erasektorit matmisplatsi rajamisel (VVAK eesmärk 3).</w:t>
      </w:r>
    </w:p>
    <w:p>
      <w:pPr>
        <w:pStyle w:val="Normal"/>
        <w:jc w:val="both"/>
        <w:rPr/>
      </w:pPr>
      <w:r>
        <w:rPr/>
      </w:r>
    </w:p>
    <w:p>
      <w:pPr>
        <w:pStyle w:val="Normal"/>
        <w:jc w:val="both"/>
        <w:rPr>
          <w:b/>
          <w:b/>
          <w:u w:val="single"/>
        </w:rPr>
      </w:pPr>
      <w:r>
        <w:rPr>
          <w:b/>
          <w:u w:val="single"/>
        </w:rPr>
        <w:t>04410 Mineraalse toorme kaevandamine</w:t>
      </w:r>
    </w:p>
    <w:p>
      <w:pPr>
        <w:pStyle w:val="Normal"/>
        <w:jc w:val="both"/>
        <w:rPr/>
      </w:pPr>
      <w:r>
        <w:rPr/>
        <w:t>KOV on taodelnud maavaradele kaevandusloa ning karjäär võetakse liiva kaevandamiseks kasutusele (VVAK eesmärk 3).</w:t>
      </w:r>
    </w:p>
    <w:p>
      <w:pPr>
        <w:pStyle w:val="Normal"/>
        <w:jc w:val="both"/>
        <w:rPr/>
      </w:pPr>
      <w:r>
        <w:rPr/>
      </w:r>
    </w:p>
    <w:p>
      <w:pPr>
        <w:pStyle w:val="Normal"/>
        <w:jc w:val="both"/>
        <w:rPr>
          <w:b/>
          <w:b/>
          <w:u w:val="single"/>
        </w:rPr>
      </w:pPr>
      <w:r>
        <w:rPr>
          <w:b/>
          <w:u w:val="single"/>
        </w:rPr>
        <w:t>04510 Manteetransport</w:t>
      </w:r>
    </w:p>
    <w:p>
      <w:pPr>
        <w:pStyle w:val="Normal"/>
        <w:jc w:val="both"/>
        <w:rPr/>
      </w:pPr>
      <w:r>
        <w:rPr/>
        <w:t>Jätkuvalt pööratakse  tähelepanu jalgratta-ja loodusturismi teede ning päästetehnika liikumisteedele, seatakse võimalust mööda nimetatud teedele servituudid ning viiakse teed  konditsiooni, mis võimaldab nendel liikuda jalgrattaga aga vajadusel ka päästetehnikaga (VVAK eesmärk 2).</w:t>
      </w:r>
    </w:p>
    <w:p>
      <w:pPr>
        <w:pStyle w:val="Normal"/>
        <w:jc w:val="both"/>
        <w:rPr/>
      </w:pPr>
      <w:r>
        <w:rPr/>
      </w:r>
    </w:p>
    <w:p>
      <w:pPr>
        <w:pStyle w:val="Normal"/>
        <w:jc w:val="both"/>
        <w:rPr>
          <w:b/>
          <w:b/>
          <w:u w:val="single"/>
        </w:rPr>
      </w:pPr>
      <w:r>
        <w:rPr>
          <w:b/>
          <w:u w:val="single"/>
        </w:rPr>
        <w:t>04520 Veetransport</w:t>
      </w:r>
    </w:p>
    <w:p>
      <w:pPr>
        <w:pStyle w:val="Normal"/>
        <w:jc w:val="both"/>
        <w:rPr/>
      </w:pPr>
      <w:r>
        <w:rPr/>
        <w:t>Jätkatakse väikesadamate- ja lautrikohtade planeerimist luues KOV-ile, erasektorile ning MTÜ-dele võimaluse neid arendada. Viiakse lõpule Sviby sadama II ja III etapi ehitus. Saxby’sse on planeeritud ehitada slipp ning taastada vana ajalooline päästekuur (VVAK eesmärk 2).</w:t>
      </w:r>
    </w:p>
    <w:p>
      <w:pPr>
        <w:pStyle w:val="Normal"/>
        <w:jc w:val="both"/>
        <w:rPr/>
      </w:pPr>
      <w:r>
        <w:rPr/>
      </w:r>
    </w:p>
    <w:p>
      <w:pPr>
        <w:pStyle w:val="Normal"/>
        <w:jc w:val="both"/>
        <w:rPr>
          <w:b/>
          <w:b/>
          <w:u w:val="single"/>
        </w:rPr>
      </w:pPr>
      <w:r>
        <w:rPr>
          <w:b/>
          <w:u w:val="single"/>
        </w:rPr>
        <w:t>04600 Side</w:t>
      </w:r>
    </w:p>
    <w:p>
      <w:pPr>
        <w:pStyle w:val="Normal"/>
        <w:jc w:val="both"/>
        <w:rPr/>
      </w:pPr>
      <w:r>
        <w:rPr/>
        <w:t>Lõppenud on ELA Sa peakaabli ja „viimase miili“ lahenduse väljaehitamine, vajadusel arendatakse süsteemi edasi (VVAK eesmärk 2).</w:t>
      </w:r>
    </w:p>
    <w:p>
      <w:pPr>
        <w:pStyle w:val="Normal"/>
        <w:jc w:val="both"/>
        <w:rPr/>
      </w:pPr>
      <w:r>
        <w:rPr/>
      </w:r>
    </w:p>
    <w:p>
      <w:pPr>
        <w:pStyle w:val="Normal"/>
        <w:jc w:val="both"/>
        <w:rPr>
          <w:b/>
          <w:b/>
          <w:u w:val="single"/>
        </w:rPr>
      </w:pPr>
      <w:r>
        <w:rPr>
          <w:b/>
          <w:u w:val="single"/>
        </w:rPr>
        <w:t>04740 Üldmajanduslikud arendusprojektid</w:t>
      </w:r>
    </w:p>
    <w:p>
      <w:pPr>
        <w:pStyle w:val="Normal"/>
        <w:jc w:val="both"/>
        <w:rPr/>
      </w:pPr>
      <w:r>
        <w:rPr/>
        <w:t>Tellitud on üldplaneeringu teemaplaneering vastavalt lähteülesandele (VVAK eesmärk 1).Lõpule on viidud Vormsi kaubamärgi väljatöötamine ning alustatakse selle kasutamist. Keskpikas või pikas perspektiivis, kui olemasolevad tunnustatud eraomandis olevad tunnustatud kogukonnaköögid ei rahulda enam nõudlust, rajatakse tervisekaitsenõuetele vastav tunnustatud ühisköök, mis on ühtlasi Vormsi tootearenduskeskus hoogustamaks väiketootmise arengut. (VVAK eesmärk 3). Viiakse lõpule Hullo tööstusala haljastamine ning jätkatakse ettevõtlusala korrastamist ning infrastruktuuri rajamist. Erasektor jätkab lennuvälja infrastruktuuri projekteerimist ja arendamist, KOV projekteerib ja ehitab nõuetele vastavaks helikopterite maandumisplatsi (VVAK eesmärk 2). Pärast keskkonnaameti nõuetest johtuvate piirangute täpsustamist ning saare arengu visooni selginemist, mis on piirkonna kui terviku arengu seisukohalt oluline, algatatakse Sviby rekreatsiooniala detailplaneering ning pärast selle vastuvõtmist alustatakse ala väljaehitamist. Külakeskuse abihoonesse rajatakse kaasaja nõuetele, turismi kõrghooajal kasutuses olev WC. Hullo amortiseerunud katlamaja renoveeritakse ning paigaldatakse lisaks avariikatel. Hullosse projekteeritakse ja rajatakse koostootmisjaam. (VVAK eesmärk 2).</w:t>
      </w:r>
    </w:p>
    <w:p>
      <w:pPr>
        <w:pStyle w:val="Normal"/>
        <w:jc w:val="both"/>
        <w:rPr/>
      </w:pPr>
      <w:r>
        <w:rPr/>
      </w:r>
    </w:p>
    <w:p>
      <w:pPr>
        <w:pStyle w:val="Normal"/>
        <w:jc w:val="both"/>
        <w:rPr>
          <w:b/>
          <w:b/>
          <w:u w:val="single"/>
        </w:rPr>
      </w:pPr>
      <w:r>
        <w:rPr>
          <w:b/>
          <w:u w:val="single"/>
        </w:rPr>
        <w:t>05100 Jäätmekäitlus</w:t>
      </w:r>
    </w:p>
    <w:p>
      <w:pPr>
        <w:pStyle w:val="Normal"/>
        <w:jc w:val="both"/>
        <w:rPr/>
      </w:pPr>
      <w:r>
        <w:rPr/>
        <w:t>Lõpetatud on Rumpo karjääri detailplaneering võimaldamaks ladustada püsijäätmeid (kivi, pinnas jne.)(VVAK eesmärk 2).</w:t>
      </w:r>
    </w:p>
    <w:p>
      <w:pPr>
        <w:pStyle w:val="Normal"/>
        <w:jc w:val="both"/>
        <w:rPr>
          <w:b/>
          <w:b/>
          <w:u w:val="single"/>
        </w:rPr>
      </w:pPr>
      <w:r>
        <w:rPr>
          <w:b/>
          <w:u w:val="single"/>
        </w:rPr>
      </w:r>
    </w:p>
    <w:p>
      <w:pPr>
        <w:pStyle w:val="Normal"/>
        <w:jc w:val="both"/>
        <w:rPr>
          <w:b/>
          <w:b/>
          <w:u w:val="single"/>
        </w:rPr>
      </w:pPr>
      <w:r>
        <w:rPr>
          <w:b/>
          <w:u w:val="single"/>
        </w:rPr>
        <w:t>06100 Elamumajanduse arendamine</w:t>
      </w:r>
    </w:p>
    <w:p>
      <w:pPr>
        <w:pStyle w:val="Normal"/>
        <w:jc w:val="both"/>
        <w:rPr/>
      </w:pPr>
      <w:r>
        <w:rPr/>
        <w:t>Lõpule on viidud Sireli talu projekteerimine munitsipaalkorteriteks. Kuna sätestatud tingmustele vastav munitsipaalehitus on VS programmi kaudu alates 2017 aastast toetatav tegevus planeeritakse rahastustaotlus ja väljaehitamine kahes etapis aastatesse 2018-2020. Pikas perspektiivis rajatakse nõudluse ja finantseerimisallikate olemasolu korral täiendavaid munitsipaalkortereid. (VVAK eesmärk 2).</w:t>
      </w:r>
    </w:p>
    <w:p>
      <w:pPr>
        <w:pStyle w:val="Normal"/>
        <w:jc w:val="both"/>
        <w:rPr>
          <w:b/>
          <w:b/>
          <w:u w:val="single"/>
        </w:rPr>
      </w:pPr>
      <w:r>
        <w:rPr>
          <w:b/>
          <w:u w:val="single"/>
        </w:rPr>
      </w:r>
    </w:p>
    <w:p>
      <w:pPr>
        <w:pStyle w:val="Normal"/>
        <w:jc w:val="both"/>
        <w:rPr>
          <w:b/>
          <w:b/>
          <w:u w:val="single"/>
        </w:rPr>
      </w:pPr>
      <w:r>
        <w:rPr>
          <w:b/>
          <w:u w:val="single"/>
        </w:rPr>
        <w:t>06300 Veevarustus</w:t>
      </w:r>
    </w:p>
    <w:p>
      <w:pPr>
        <w:pStyle w:val="Normal"/>
        <w:jc w:val="both"/>
        <w:rPr/>
      </w:pPr>
      <w:r>
        <w:rPr/>
        <w:t>Lõpule on viidud Hullo küla vee- ja kanalisatsioonitrasside väljaehitamine. Aastatel 2017-2018 viiakse läbi Hullo pumbamajas parendustööd tagamaks surve trassides ning ettenähtud vee kvaliteet.(VVAK eesmärk 2).</w:t>
      </w:r>
    </w:p>
    <w:p>
      <w:pPr>
        <w:pStyle w:val="Normal"/>
        <w:jc w:val="both"/>
        <w:rPr/>
      </w:pPr>
      <w:r>
        <w:rPr/>
      </w:r>
    </w:p>
    <w:p>
      <w:pPr>
        <w:pStyle w:val="Normal"/>
        <w:jc w:val="both"/>
        <w:rPr>
          <w:b/>
          <w:b/>
          <w:u w:val="single"/>
        </w:rPr>
      </w:pPr>
      <w:r>
        <w:rPr>
          <w:b/>
          <w:u w:val="single"/>
        </w:rPr>
        <w:t>066052 Kalmistud</w:t>
      </w:r>
    </w:p>
    <w:p>
      <w:pPr>
        <w:pStyle w:val="Normal"/>
        <w:jc w:val="both"/>
        <w:rPr/>
      </w:pPr>
      <w:r>
        <w:rPr/>
        <w:t>Alustatakse kalmistu ja kirikuaia ümberkujundamist ning vanade aedade taastamist ja korrastatakse Vabadussõja monumendi tagune ala, kus tähistatakse 59°00’00’ tekitades Vormsile uue vaatamisväärsuse (VVAK eesmärk 2 ja 6).</w:t>
      </w:r>
    </w:p>
    <w:p>
      <w:pPr>
        <w:pStyle w:val="Normal"/>
        <w:jc w:val="both"/>
        <w:rPr/>
      </w:pPr>
      <w:r>
        <w:rPr/>
      </w:r>
    </w:p>
    <w:p>
      <w:pPr>
        <w:pStyle w:val="Normal"/>
        <w:jc w:val="both"/>
        <w:rPr>
          <w:b/>
          <w:b/>
          <w:u w:val="single"/>
        </w:rPr>
      </w:pPr>
      <w:r>
        <w:rPr>
          <w:b/>
          <w:u w:val="single"/>
        </w:rPr>
        <w:t>08207 Muinsuskaitse</w:t>
      </w:r>
    </w:p>
    <w:p>
      <w:pPr>
        <w:pStyle w:val="Normal"/>
        <w:jc w:val="both"/>
        <w:rPr/>
      </w:pPr>
      <w:r>
        <w:rPr/>
        <w:t>Suuremõisa pargis ja mujal Vormsil markeeritakse sobivates kohtades hooneid jm. koos fotoväljapanekuga projekti „Vormsi kadunud vaated“ raames. Koostöös muuseumit haldava MTÜ-ga alustatakse Sviby talumuuseumi väljaarendamist Vormsi pärimuskultuuri keskuseks. Keskpikas perspektiivis konserveeritakse Vene Õigeusu kiriku varemed vältimaks nende edasist lagunemist (VVAK eesmärk 2 ja 6).</w:t>
      </w:r>
    </w:p>
    <w:p>
      <w:pPr>
        <w:pStyle w:val="Normal"/>
        <w:jc w:val="both"/>
        <w:rPr/>
      </w:pPr>
      <w:r>
        <w:rPr/>
      </w:r>
    </w:p>
    <w:p>
      <w:pPr>
        <w:pStyle w:val="Normal"/>
        <w:jc w:val="both"/>
        <w:rPr>
          <w:b/>
          <w:b/>
          <w:u w:val="single"/>
        </w:rPr>
      </w:pPr>
      <w:r>
        <w:rPr>
          <w:b/>
          <w:u w:val="single"/>
        </w:rPr>
        <w:t>09212 Kool</w:t>
      </w:r>
    </w:p>
    <w:p>
      <w:pPr>
        <w:pStyle w:val="Normal"/>
        <w:jc w:val="both"/>
        <w:rPr/>
      </w:pPr>
      <w:r>
        <w:rPr/>
        <w:t>Olemasoleval koolihoonel vahetatakse ja lisasoojustatakse fassaad ning vahetatakse väga halvas seisus olevad aknad. 2017 vahetatakse II korruse elektrisüsteem valgustid ja hoone peakilp  Lisaks ehitatakse välja WC/dushiblokk. Koostöös erasektoriga parendatakse kooli spordiväljaku seisukorda võimaldamaks nii õpilastel kui saare elanikel kvaliteetsemalt sportida. VVAK eesmärk 1,2 ja 4).</w:t>
      </w:r>
    </w:p>
    <w:p>
      <w:pPr>
        <w:pStyle w:val="Normal"/>
        <w:rPr/>
      </w:pPr>
      <w:r>
        <w:rPr/>
      </w:r>
    </w:p>
    <w:p>
      <w:pPr>
        <w:pStyle w:val="Normal"/>
        <w:rPr/>
      </w:pPr>
      <w:r>
        <w:rPr/>
        <w:t>Eelnõu algatas vallavalitsus, koostas T. Viks 24.04.2017.a.</w:t>
      </w:r>
    </w:p>
    <w:sectPr>
      <w:type w:val="nextPage"/>
      <w:pgSz w:orient="landscape" w:w="15840" w:h="122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roman"/>
    <w:pitch w:val="variable"/>
  </w:font>
  <w:font w:name="Verdana">
    <w:charset w:val="ba"/>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57153"/>
    <w:pPr>
      <w:widowControl/>
      <w:bidi w:val="0"/>
      <w:jc w:val="left"/>
    </w:pPr>
    <w:rPr>
      <w:rFonts w:ascii="Times New Roman" w:hAnsi="Times New Roman" w:eastAsia="Times New Roman" w:cs="Times New Roman"/>
      <w:color w:val="00000A"/>
      <w:sz w:val="24"/>
      <w:szCs w:val="24"/>
      <w:lang w:val="et-EE"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E27EB-DC6A-44D1-B366-23ADE502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LibreOffice/5.1.0.3$Windows_x86 LibreOffice_project/5e3e00a007d9b3b6efb6797a8b8e57b51ab1f737</Application>
  <Pages>1</Pages>
  <Words>1360</Words>
  <CharactersWithSpaces>7888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2017-04-24T11:35:00Z</dcterms:created>
  <dc:creator>Pagari</dc:creator>
  <dc:description/>
  <dc:language>et-EE</dc:language>
  <cp:lastModifiedBy>Kasutaja</cp:lastModifiedBy>
  <cp:lastPrinted>2015-08-31T10:47:00Z</cp:lastPrinted>
  <dcterms:modified xsi:type="dcterms:W3CDTF">2017-05-02T11:23:00Z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